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105F" w14:textId="77777777" w:rsidR="005C3A93" w:rsidRDefault="005C3A93" w:rsidP="005C3A93">
      <w:r>
        <w:t>June 7, 2021</w:t>
      </w:r>
    </w:p>
    <w:p w14:paraId="50A20FA3" w14:textId="77777777" w:rsidR="005C3A93" w:rsidRDefault="005C3A93" w:rsidP="005C3A93"/>
    <w:p w14:paraId="743EB541" w14:textId="77777777" w:rsidR="005C3A93" w:rsidRDefault="005C3A93" w:rsidP="005C3A93">
      <w:pPr>
        <w:contextualSpacing/>
      </w:pPr>
      <w:r>
        <w:t xml:space="preserve">Mr. Tom </w:t>
      </w:r>
      <w:proofErr w:type="spellStart"/>
      <w:r>
        <w:t>Mungham</w:t>
      </w:r>
      <w:proofErr w:type="spellEnd"/>
    </w:p>
    <w:p w14:paraId="24BC8509" w14:textId="77777777" w:rsidR="005C3A93" w:rsidRDefault="005C3A93" w:rsidP="005C3A93">
      <w:pPr>
        <w:contextualSpacing/>
      </w:pPr>
      <w:r>
        <w:t>Chief Executive Officer</w:t>
      </w:r>
    </w:p>
    <w:p w14:paraId="6F487F03" w14:textId="77777777" w:rsidR="005C3A93" w:rsidRDefault="005C3A93" w:rsidP="005C3A93">
      <w:pPr>
        <w:contextualSpacing/>
      </w:pPr>
      <w:r>
        <w:t>Alcohol and Gaming Commission of Ontario</w:t>
      </w:r>
    </w:p>
    <w:p w14:paraId="4B3D80A3" w14:textId="77777777" w:rsidR="005C3A93" w:rsidRDefault="005C3A93" w:rsidP="005C3A93">
      <w:pPr>
        <w:contextualSpacing/>
      </w:pPr>
      <w:r>
        <w:t>90 Sheppard Avenue East</w:t>
      </w:r>
    </w:p>
    <w:p w14:paraId="117CD272" w14:textId="77777777" w:rsidR="005C3A93" w:rsidRDefault="005C3A93" w:rsidP="005C3A93">
      <w:pPr>
        <w:contextualSpacing/>
      </w:pPr>
      <w:r>
        <w:t>Suite 200-300</w:t>
      </w:r>
    </w:p>
    <w:p w14:paraId="7CA22219" w14:textId="77777777" w:rsidR="005C3A93" w:rsidRDefault="005C3A93" w:rsidP="005C3A93">
      <w:pPr>
        <w:contextualSpacing/>
      </w:pPr>
      <w:r>
        <w:t>Toronto, Ontario M2N 0A4</w:t>
      </w:r>
    </w:p>
    <w:p w14:paraId="73030C3E" w14:textId="77777777" w:rsidR="005C3A93" w:rsidRDefault="005C3A93" w:rsidP="005C3A93">
      <w:pPr>
        <w:contextualSpacing/>
      </w:pPr>
    </w:p>
    <w:p w14:paraId="56F9ADC5" w14:textId="77777777" w:rsidR="005C3A93" w:rsidRDefault="005C3A93" w:rsidP="005C3A93">
      <w:pPr>
        <w:contextualSpacing/>
      </w:pPr>
      <w:r>
        <w:t xml:space="preserve">Dear Mr. </w:t>
      </w:r>
      <w:proofErr w:type="spellStart"/>
      <w:r>
        <w:t>Mungham</w:t>
      </w:r>
      <w:proofErr w:type="spellEnd"/>
      <w:r>
        <w:t>:</w:t>
      </w:r>
    </w:p>
    <w:p w14:paraId="594278AD" w14:textId="77777777" w:rsidR="005C3A93" w:rsidRDefault="005C3A93" w:rsidP="005C3A93">
      <w:pPr>
        <w:contextualSpacing/>
      </w:pPr>
    </w:p>
    <w:p w14:paraId="74938881" w14:textId="6CBE7B63" w:rsidR="005C3A93" w:rsidRDefault="005C3A93" w:rsidP="005C3A93">
      <w:pPr>
        <w:contextualSpacing/>
      </w:pPr>
      <w:r>
        <w:t xml:space="preserve">The </w:t>
      </w:r>
      <w:proofErr w:type="spellStart"/>
      <w:r>
        <w:t>iDevelopment</w:t>
      </w:r>
      <w:proofErr w:type="spellEnd"/>
      <w:r>
        <w:t xml:space="preserve"> and Economic Association (</w:t>
      </w:r>
      <w:proofErr w:type="spellStart"/>
      <w:r>
        <w:t>iDEA</w:t>
      </w:r>
      <w:proofErr w:type="spellEnd"/>
      <w:r>
        <w:t xml:space="preserve">) is an organization of operators and suppliers in the iGaming and mobile sports wagering industry based in the United States. </w:t>
      </w:r>
      <w:proofErr w:type="spellStart"/>
      <w:r>
        <w:t>iDEA</w:t>
      </w:r>
      <w:proofErr w:type="spellEnd"/>
      <w:r>
        <w:t xml:space="preserve"> appreciates your agency’s work to bring licensed and regulated iGaming to the Province of Ontario. We believe you and your staff have done commendable work in developing a regulatory regime. However, our association’s members have at least one area of concern and we </w:t>
      </w:r>
      <w:proofErr w:type="gramStart"/>
      <w:r>
        <w:t>are</w:t>
      </w:r>
      <w:proofErr w:type="gramEnd"/>
      <w:r>
        <w:t xml:space="preserve"> writing to bring that to your attention.</w:t>
      </w:r>
    </w:p>
    <w:p w14:paraId="5AE8AA2F" w14:textId="77777777" w:rsidR="005C3A93" w:rsidRDefault="005C3A93" w:rsidP="005C3A93">
      <w:pPr>
        <w:contextualSpacing/>
      </w:pPr>
    </w:p>
    <w:p w14:paraId="2AD5A784" w14:textId="5DCD2EE1" w:rsidR="005C3A93" w:rsidRDefault="005C3A93" w:rsidP="005C3A93">
      <w:pPr>
        <w:contextualSpacing/>
      </w:pPr>
      <w:r>
        <w:t xml:space="preserve">Our members’ primary concern is with the AGCO’s recently released eligibility standards document and in particular the lack of provision for registration and regulation of suppliers and vendors. </w:t>
      </w:r>
      <w:proofErr w:type="spellStart"/>
      <w:r>
        <w:t>iDEA</w:t>
      </w:r>
      <w:proofErr w:type="spellEnd"/>
      <w:r>
        <w:t xml:space="preserve"> and our members are not aware of any first-tier regulated jurisdiction that does not have some level of registration or prescribed technical standards for software suppliers, payment processors, geolocation and identity verification partners, and in some cases, affiliates, among others. Furthermore, in jurisdictions where sports betting is legal, data providers are generally required to register.</w:t>
      </w:r>
    </w:p>
    <w:p w14:paraId="61882FA5" w14:textId="77777777" w:rsidR="005C3A93" w:rsidRDefault="005C3A93" w:rsidP="005C3A93">
      <w:pPr>
        <w:contextualSpacing/>
      </w:pPr>
    </w:p>
    <w:p w14:paraId="4098ABBA" w14:textId="5BD8B9F0" w:rsidR="005C3A93" w:rsidRDefault="005C3A93" w:rsidP="005C3A93">
      <w:pPr>
        <w:contextualSpacing/>
      </w:pPr>
      <w:r>
        <w:t xml:space="preserve">We are aware that AGCO currently favors a regulatory regime in which your agency would regulate operators, and operators would be responsible for policing their suppliers. </w:t>
      </w:r>
      <w:proofErr w:type="spellStart"/>
      <w:r>
        <w:t>iDEA’s</w:t>
      </w:r>
      <w:proofErr w:type="spellEnd"/>
      <w:r>
        <w:t xml:space="preserve"> members are concerned that this approach would turn operators into </w:t>
      </w:r>
      <w:r>
        <w:rPr>
          <w:i/>
          <w:iCs/>
        </w:rPr>
        <w:t>de facto</w:t>
      </w:r>
      <w:r>
        <w:t xml:space="preserve"> regulators of their suppliers, a responsibility with which operators have little experience and for which they are not well-suited. In fulfilling this responsibility, the interests of operators and of consumers may not always align, creating the possibility of a regulatory failure which would prove embarrassing to both the industry and the government.  </w:t>
      </w:r>
    </w:p>
    <w:p w14:paraId="3C00CFCB" w14:textId="77777777" w:rsidR="005C3A93" w:rsidRDefault="005C3A93" w:rsidP="005C3A93">
      <w:pPr>
        <w:contextualSpacing/>
      </w:pPr>
    </w:p>
    <w:p w14:paraId="092327C6" w14:textId="77777777" w:rsidR="001671F9" w:rsidRDefault="001671F9" w:rsidP="005C3A93"/>
    <w:p w14:paraId="063074B1" w14:textId="1D389FE6" w:rsidR="005C3A93" w:rsidRDefault="005C3A93" w:rsidP="005C3A93">
      <w:r>
        <w:lastRenderedPageBreak/>
        <w:t xml:space="preserve">In jurisdictions that license online gaming, operators rely on a network of suppliers for things like identity verification, geolocation and self-exclusion, among others. Those suppliers follow strict and audited processes and guidelines set by the regulator, and thus the scandals of underage or self-excluded players being allowed to bet are mostly avoided. Even in these strict environments, lapses occasionally occur, particularly when new operators with new technology enter the market, and inappropriate players (minors, self-excluded players and players from other jurisdictions) try to circumvent controls. </w:t>
      </w:r>
    </w:p>
    <w:p w14:paraId="0BF96AE4" w14:textId="77777777" w:rsidR="005C3A93" w:rsidRDefault="005C3A93" w:rsidP="005C3A93"/>
    <w:p w14:paraId="7A867654" w14:textId="0B6B1211" w:rsidR="005C3A93" w:rsidRPr="006128BA" w:rsidRDefault="005C3A93" w:rsidP="005C3A93">
      <w:pPr>
        <w:rPr>
          <w:rFonts w:eastAsia="Times New Roman" w:cstheme="minorHAnsi"/>
          <w:lang w:val="en-CA"/>
        </w:rPr>
      </w:pPr>
      <w:r w:rsidRPr="006128BA">
        <w:rPr>
          <w:rFonts w:eastAsia="Times New Roman" w:cstheme="minorHAnsi"/>
          <w:color w:val="222222"/>
          <w:shd w:val="clear" w:color="auto" w:fill="FFFFFF"/>
          <w:lang w:val="en-CA"/>
        </w:rPr>
        <w:t xml:space="preserve">In most regulated jurisdictions geolocation and Know Your Customer (KYC) standards are used to verify customers and mitigate potential payments fraud. Without necessary controls, </w:t>
      </w:r>
      <w:r>
        <w:rPr>
          <w:rFonts w:eastAsia="Times New Roman" w:cstheme="minorHAnsi"/>
          <w:color w:val="222222"/>
          <w:shd w:val="clear" w:color="auto" w:fill="FFFFFF"/>
          <w:lang w:val="en-CA"/>
        </w:rPr>
        <w:t>the proposed standards</w:t>
      </w:r>
      <w:r w:rsidRPr="006128BA">
        <w:rPr>
          <w:rFonts w:eastAsia="Times New Roman" w:cstheme="minorHAnsi"/>
          <w:color w:val="222222"/>
          <w:shd w:val="clear" w:color="auto" w:fill="FFFFFF"/>
          <w:lang w:val="en-CA"/>
        </w:rPr>
        <w:t xml:space="preserve"> could erode the ability of leading payment technology companies from servicing the market because of elevated risks.</w:t>
      </w:r>
      <w:r>
        <w:rPr>
          <w:rFonts w:eastAsia="Times New Roman" w:cstheme="minorHAnsi"/>
          <w:lang w:val="en-CA"/>
        </w:rPr>
        <w:t xml:space="preserve"> </w:t>
      </w:r>
      <w:r>
        <w:t xml:space="preserve">Furthermore, operators who fail to use state-of-the art geolocation technology could run the risk of violating the laws of adjoining jurisdictions, including possible criminal violations of U.S. federal law if they inadvertently take play from adjoining states in the U.S. </w:t>
      </w:r>
    </w:p>
    <w:p w14:paraId="13767BFD" w14:textId="77777777" w:rsidR="005C3A93" w:rsidRDefault="005C3A93" w:rsidP="005C3A93">
      <w:pPr>
        <w:contextualSpacing/>
      </w:pPr>
    </w:p>
    <w:p w14:paraId="437F5BF9" w14:textId="09A53978" w:rsidR="005C3A93" w:rsidRDefault="005C3A93" w:rsidP="005C3A93">
      <w:pPr>
        <w:contextualSpacing/>
      </w:pPr>
      <w:r>
        <w:t>It is our hope that Ontario would eventually partner with other jurisdictions to allow operators to pool liquidity. We believe such arrangements generally result in more robust markets and more government revenue in all participating jurisdictions. Additionally, this multi-jurisdictional liquidity is essential to the success of peer-to-peer products like online poker. However, we believe many U</w:t>
      </w:r>
      <w:r w:rsidR="00BD64A0">
        <w:t>.</w:t>
      </w:r>
      <w:r>
        <w:t>S</w:t>
      </w:r>
      <w:r w:rsidR="00BD64A0">
        <w:t>.</w:t>
      </w:r>
      <w:r>
        <w:t xml:space="preserve"> jurisdictions would hesitate to partner with any regulatory regimes that did not regulate suppliers.   </w:t>
      </w:r>
    </w:p>
    <w:p w14:paraId="07F828BE" w14:textId="77777777" w:rsidR="005C3A93" w:rsidRDefault="005C3A93" w:rsidP="005C3A93">
      <w:pPr>
        <w:contextualSpacing/>
      </w:pPr>
    </w:p>
    <w:p w14:paraId="563FA6DC" w14:textId="77777777" w:rsidR="005C3A93" w:rsidRDefault="005C3A93" w:rsidP="005C3A93">
      <w:pPr>
        <w:contextualSpacing/>
      </w:pPr>
      <w:r>
        <w:t>In fact, we believe most recognized suppliers of software, payment processing, geolocation, etc. support AGCO registering or regulating them as a sort of “seal of approval” for their potential customers and to protect them from competition with companies who would not pass regulatory scrutiny.</w:t>
      </w:r>
    </w:p>
    <w:p w14:paraId="62F13BB5" w14:textId="77777777" w:rsidR="005C3A93" w:rsidRDefault="005C3A93" w:rsidP="005C3A93">
      <w:pPr>
        <w:contextualSpacing/>
      </w:pPr>
    </w:p>
    <w:p w14:paraId="5B8C7D46" w14:textId="191A6B69" w:rsidR="005C3A93" w:rsidRDefault="005C3A93" w:rsidP="005C3A93">
      <w:pPr>
        <w:contextualSpacing/>
      </w:pPr>
      <w:r>
        <w:t xml:space="preserve">We are aware that the demands on your agency are considerable and of the compressed timetable in which you are tasked with finalizing a regulatory regime; these factors may make the prospect of registering or regulating suppliers seem daunting. It is possible that your agency could address this by allowing suppliers to register, perhaps based on those suppliers being registered by, and/or operating in a manner consistent with the standards of, certain white-list jurisdictions. Provisional licenses or regulatory approval could also be issued on the basis of additional standards of suitability and efficacy.  </w:t>
      </w:r>
    </w:p>
    <w:p w14:paraId="459D0E0A" w14:textId="3AB84407" w:rsidR="005C3A93" w:rsidRDefault="005C3A93" w:rsidP="005C3A93">
      <w:pPr>
        <w:contextualSpacing/>
      </w:pPr>
      <w:r>
        <w:lastRenderedPageBreak/>
        <w:t>In closing</w:t>
      </w:r>
      <w:r w:rsidR="00BD64A0">
        <w:t>,</w:t>
      </w:r>
      <w:r>
        <w:t xml:space="preserve"> we would like to additionally share our concerns about the expectation in the registrar’s standards for iGaming that operators will be held responsible for the actions of their third-party suppliers. </w:t>
      </w:r>
      <w:proofErr w:type="spellStart"/>
      <w:r>
        <w:t>iDEA’s</w:t>
      </w:r>
      <w:proofErr w:type="spellEnd"/>
      <w:r>
        <w:t xml:space="preserve"> members believe that third-party suppliers need to be responsible for their actions directly to the regulator, regardless of whether the AGCO embraces a supplier registration system.</w:t>
      </w:r>
    </w:p>
    <w:p w14:paraId="35307E89" w14:textId="77777777" w:rsidR="005C3A93" w:rsidRDefault="005C3A93" w:rsidP="005C3A93">
      <w:pPr>
        <w:contextualSpacing/>
      </w:pPr>
    </w:p>
    <w:p w14:paraId="20730CA3" w14:textId="77777777" w:rsidR="005C3A93" w:rsidRDefault="005C3A93" w:rsidP="005C3A93">
      <w:pPr>
        <w:contextualSpacing/>
      </w:pPr>
      <w:proofErr w:type="spellStart"/>
      <w:r>
        <w:t>iDEA</w:t>
      </w:r>
      <w:proofErr w:type="spellEnd"/>
      <w:r>
        <w:t xml:space="preserve"> is eager to discuss these issues with you and your staff and we are eager to help AGCO create an effective, efficient regulatory regime for Canada’s largest province.</w:t>
      </w:r>
    </w:p>
    <w:p w14:paraId="78B88BE6" w14:textId="77777777" w:rsidR="005C3A93" w:rsidRDefault="005C3A93" w:rsidP="005C3A93">
      <w:pPr>
        <w:contextualSpacing/>
      </w:pPr>
    </w:p>
    <w:p w14:paraId="5ADBE9B8" w14:textId="3E63D670" w:rsidR="005C3A93" w:rsidRDefault="005C3A93" w:rsidP="005C3A93">
      <w:pPr>
        <w:contextualSpacing/>
      </w:pPr>
      <w:r>
        <w:t xml:space="preserve">Once again, </w:t>
      </w:r>
      <w:r w:rsidR="00BD64A0">
        <w:t>many thanks to you</w:t>
      </w:r>
      <w:r>
        <w:t xml:space="preserve"> and your staff for your good work to date. We look forward to working with you and your team in the future.</w:t>
      </w:r>
    </w:p>
    <w:p w14:paraId="41A218BA" w14:textId="77777777" w:rsidR="005C3A93" w:rsidRDefault="005C3A93" w:rsidP="005C3A93">
      <w:pPr>
        <w:contextualSpacing/>
      </w:pPr>
    </w:p>
    <w:p w14:paraId="1F8E8400" w14:textId="7B8BBA20" w:rsidR="005C3A93" w:rsidRDefault="005C3A93" w:rsidP="005C3A93">
      <w:pPr>
        <w:contextualSpacing/>
      </w:pPr>
      <w:r>
        <w:t>Sincerely,</w:t>
      </w:r>
    </w:p>
    <w:p w14:paraId="3A7046D3" w14:textId="77777777" w:rsidR="00BD64A0" w:rsidRDefault="00BD64A0" w:rsidP="005C3A93">
      <w:pPr>
        <w:contextualSpacing/>
      </w:pPr>
    </w:p>
    <w:p w14:paraId="33F647E0" w14:textId="7401CBA7" w:rsidR="00BD64A0" w:rsidRDefault="00BD64A0" w:rsidP="005C3A93">
      <w:pPr>
        <w:contextualSpacing/>
      </w:pPr>
      <w:r>
        <w:rPr>
          <w:noProof/>
        </w:rPr>
        <w:drawing>
          <wp:inline distT="0" distB="0" distL="0" distR="0" wp14:anchorId="03EEC26D" wp14:editId="55CA5185">
            <wp:extent cx="1274174" cy="432854"/>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1274174" cy="432854"/>
                    </a:xfrm>
                    <a:prstGeom prst="rect">
                      <a:avLst/>
                    </a:prstGeom>
                  </pic:spPr>
                </pic:pic>
              </a:graphicData>
            </a:graphic>
          </wp:inline>
        </w:drawing>
      </w:r>
    </w:p>
    <w:p w14:paraId="140EBFE5" w14:textId="77777777" w:rsidR="00BD64A0" w:rsidRDefault="00BD64A0" w:rsidP="005C3A93">
      <w:pPr>
        <w:contextualSpacing/>
      </w:pPr>
    </w:p>
    <w:p w14:paraId="4F315342" w14:textId="0059E765" w:rsidR="005C3A93" w:rsidRDefault="005C3A93" w:rsidP="005C3A93">
      <w:pPr>
        <w:contextualSpacing/>
      </w:pPr>
      <w:r>
        <w:t>Jeff Ifrah</w:t>
      </w:r>
    </w:p>
    <w:p w14:paraId="3253E185" w14:textId="77777777" w:rsidR="005C3A93" w:rsidRDefault="005C3A93" w:rsidP="005C3A93">
      <w:pPr>
        <w:contextualSpacing/>
      </w:pPr>
      <w:r>
        <w:t xml:space="preserve">On Behalf of </w:t>
      </w:r>
      <w:proofErr w:type="spellStart"/>
      <w:r>
        <w:t>iDEA</w:t>
      </w:r>
      <w:proofErr w:type="spellEnd"/>
      <w:r>
        <w:t xml:space="preserve"> Growth</w:t>
      </w:r>
    </w:p>
    <w:p w14:paraId="56FF7D49" w14:textId="77777777" w:rsidR="005C3A93" w:rsidRDefault="005C3A93" w:rsidP="005C3A93">
      <w:pPr>
        <w:contextualSpacing/>
      </w:pPr>
    </w:p>
    <w:p w14:paraId="314B20D5" w14:textId="5718C046" w:rsidR="00B55930" w:rsidRPr="005C3A93" w:rsidRDefault="00B55930" w:rsidP="005C3A93"/>
    <w:sectPr w:rsidR="00B55930" w:rsidRPr="005C3A93" w:rsidSect="005C3A93">
      <w:headerReference w:type="default" r:id="rId7"/>
      <w:headerReference w:type="first" r:id="rId8"/>
      <w:pgSz w:w="12240" w:h="15840"/>
      <w:pgMar w:top="2880" w:right="1440" w:bottom="216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7F2A" w14:textId="77777777" w:rsidR="00534A1C" w:rsidRDefault="00534A1C" w:rsidP="00780460">
      <w:r>
        <w:separator/>
      </w:r>
    </w:p>
  </w:endnote>
  <w:endnote w:type="continuationSeparator" w:id="0">
    <w:p w14:paraId="69F910DD" w14:textId="77777777" w:rsidR="00534A1C" w:rsidRDefault="00534A1C" w:rsidP="0078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85C9" w14:textId="77777777" w:rsidR="00534A1C" w:rsidRDefault="00534A1C" w:rsidP="00780460">
      <w:r>
        <w:separator/>
      </w:r>
    </w:p>
  </w:footnote>
  <w:footnote w:type="continuationSeparator" w:id="0">
    <w:p w14:paraId="174518BE" w14:textId="77777777" w:rsidR="00534A1C" w:rsidRDefault="00534A1C" w:rsidP="00780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966D" w14:textId="1A63CAA6" w:rsidR="004976E2" w:rsidRDefault="00E9683D">
    <w:pPr>
      <w:pStyle w:val="Header"/>
    </w:pPr>
    <w:r>
      <w:rPr>
        <w:noProof/>
      </w:rPr>
      <w:drawing>
        <wp:anchor distT="0" distB="0" distL="114300" distR="114300" simplePos="0" relativeHeight="251672576" behindDoc="1" locked="0" layoutInCell="1" allowOverlap="1" wp14:anchorId="01620359" wp14:editId="5B0B6641">
          <wp:simplePos x="0" y="0"/>
          <wp:positionH relativeFrom="column">
            <wp:posOffset>-901700</wp:posOffset>
          </wp:positionH>
          <wp:positionV relativeFrom="paragraph">
            <wp:posOffset>-925195</wp:posOffset>
          </wp:positionV>
          <wp:extent cx="7772400" cy="10058947"/>
          <wp:effectExtent l="0" t="0" r="0" b="0"/>
          <wp:wrapNone/>
          <wp:docPr id="1" name="iDEA_Letterhead_WORD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_Letterhead_WORD_v22.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1005894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71F" w14:textId="289489AC" w:rsidR="004976E2" w:rsidRDefault="00E9683D">
    <w:pPr>
      <w:pStyle w:val="Header"/>
    </w:pPr>
    <w:r>
      <w:rPr>
        <w:noProof/>
      </w:rPr>
      <w:drawing>
        <wp:anchor distT="0" distB="0" distL="114300" distR="114300" simplePos="0" relativeHeight="251673600" behindDoc="1" locked="0" layoutInCell="1" allowOverlap="1" wp14:anchorId="657255D0" wp14:editId="6381D209">
          <wp:simplePos x="0" y="0"/>
          <wp:positionH relativeFrom="column">
            <wp:posOffset>-889000</wp:posOffset>
          </wp:positionH>
          <wp:positionV relativeFrom="paragraph">
            <wp:posOffset>-925195</wp:posOffset>
          </wp:positionV>
          <wp:extent cx="7772400" cy="10058947"/>
          <wp:effectExtent l="0" t="0" r="0" b="0"/>
          <wp:wrapNone/>
          <wp:docPr id="4" name="iDEA_Letterhead_WORD_v2.jpg"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A_Letterhead_WORD_v2.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772400" cy="100589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80"/>
    <w:rsid w:val="00024642"/>
    <w:rsid w:val="00076702"/>
    <w:rsid w:val="000A2B57"/>
    <w:rsid w:val="000E17E0"/>
    <w:rsid w:val="001671F9"/>
    <w:rsid w:val="002668E5"/>
    <w:rsid w:val="0029051B"/>
    <w:rsid w:val="00307077"/>
    <w:rsid w:val="00327155"/>
    <w:rsid w:val="003E58D7"/>
    <w:rsid w:val="0040104B"/>
    <w:rsid w:val="004839F7"/>
    <w:rsid w:val="004976E2"/>
    <w:rsid w:val="00534A1C"/>
    <w:rsid w:val="0054211F"/>
    <w:rsid w:val="005B0C67"/>
    <w:rsid w:val="005B1B13"/>
    <w:rsid w:val="005C3A93"/>
    <w:rsid w:val="00613184"/>
    <w:rsid w:val="00640B31"/>
    <w:rsid w:val="00780460"/>
    <w:rsid w:val="007D74BB"/>
    <w:rsid w:val="0086474B"/>
    <w:rsid w:val="00886EF5"/>
    <w:rsid w:val="00982CA7"/>
    <w:rsid w:val="00AA6CCE"/>
    <w:rsid w:val="00AB0980"/>
    <w:rsid w:val="00B36660"/>
    <w:rsid w:val="00B55930"/>
    <w:rsid w:val="00BD64A0"/>
    <w:rsid w:val="00C43D7F"/>
    <w:rsid w:val="00C56C3D"/>
    <w:rsid w:val="00CE0F9E"/>
    <w:rsid w:val="00E9683D"/>
    <w:rsid w:val="00ED7E2E"/>
    <w:rsid w:val="00EE7E14"/>
    <w:rsid w:val="00F156F6"/>
    <w:rsid w:val="00F61A80"/>
    <w:rsid w:val="00FA197D"/>
    <w:rsid w:val="00FC4C93"/>
    <w:rsid w:val="00FD2162"/>
    <w:rsid w:val="00FE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7D7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460"/>
    <w:pPr>
      <w:tabs>
        <w:tab w:val="center" w:pos="4680"/>
        <w:tab w:val="right" w:pos="9360"/>
      </w:tabs>
    </w:pPr>
  </w:style>
  <w:style w:type="character" w:customStyle="1" w:styleId="HeaderChar">
    <w:name w:val="Header Char"/>
    <w:basedOn w:val="DefaultParagraphFont"/>
    <w:link w:val="Header"/>
    <w:uiPriority w:val="99"/>
    <w:rsid w:val="00780460"/>
  </w:style>
  <w:style w:type="paragraph" w:styleId="Footer">
    <w:name w:val="footer"/>
    <w:basedOn w:val="Normal"/>
    <w:link w:val="FooterChar"/>
    <w:uiPriority w:val="99"/>
    <w:unhideWhenUsed/>
    <w:rsid w:val="00780460"/>
    <w:pPr>
      <w:tabs>
        <w:tab w:val="center" w:pos="4680"/>
        <w:tab w:val="right" w:pos="9360"/>
      </w:tabs>
    </w:pPr>
  </w:style>
  <w:style w:type="character" w:customStyle="1" w:styleId="FooterChar">
    <w:name w:val="Footer Char"/>
    <w:basedOn w:val="DefaultParagraphFont"/>
    <w:link w:val="Footer"/>
    <w:uiPriority w:val="99"/>
    <w:rsid w:val="00780460"/>
  </w:style>
  <w:style w:type="paragraph" w:styleId="BalloonText">
    <w:name w:val="Balloon Text"/>
    <w:basedOn w:val="Normal"/>
    <w:link w:val="BalloonTextChar"/>
    <w:uiPriority w:val="99"/>
    <w:semiHidden/>
    <w:unhideWhenUsed/>
    <w:rsid w:val="00AB0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ngelamitchell/Sync/Knapp/iDEA/2019_20%20Projects/Marketing%20Templates/Letterhead%20Word/iDEA_Letterhead_WORD_v22.jpg"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file:////Users/angelamitchell/Sync/Knapp/iDEA/2019_20%20Projects/Marketing%20Templates/Letterhead%20Word/iDEA_Letterhead_WORD_v2.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Davis</cp:lastModifiedBy>
  <cp:revision>2</cp:revision>
  <dcterms:created xsi:type="dcterms:W3CDTF">2021-06-04T14:16:00Z</dcterms:created>
  <dcterms:modified xsi:type="dcterms:W3CDTF">2021-06-04T14:16:00Z</dcterms:modified>
</cp:coreProperties>
</file>