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1F12E" w14:textId="77777777" w:rsidR="0018384C" w:rsidRDefault="00000000">
      <w:r>
        <w:t xml:space="preserve"> </w:t>
      </w:r>
    </w:p>
    <w:p w14:paraId="4C7E482E" w14:textId="77777777" w:rsidR="0018384C" w:rsidRDefault="0018384C"/>
    <w:p w14:paraId="23A3D7B7" w14:textId="77777777" w:rsidR="0018384C" w:rsidRDefault="0018384C">
      <w:pPr>
        <w:rPr>
          <w:b/>
          <w:color w:val="538135"/>
          <w:sz w:val="36"/>
          <w:szCs w:val="36"/>
        </w:rPr>
      </w:pPr>
    </w:p>
    <w:p w14:paraId="5F975A80" w14:textId="77777777" w:rsidR="0018384C" w:rsidRDefault="00000000">
      <w:pPr>
        <w:tabs>
          <w:tab w:val="left" w:pos="5220"/>
        </w:tabs>
        <w:rPr>
          <w:b/>
          <w:color w:val="538135"/>
          <w:sz w:val="36"/>
          <w:szCs w:val="36"/>
        </w:rPr>
      </w:pPr>
      <w:r>
        <w:rPr>
          <w:b/>
          <w:color w:val="538135"/>
          <w:sz w:val="36"/>
          <w:szCs w:val="36"/>
        </w:rPr>
        <w:t>Priority States: Legislative Sports Betting 2024</w:t>
      </w:r>
    </w:p>
    <w:p w14:paraId="4C77C43B" w14:textId="77777777" w:rsidR="0018384C" w:rsidRDefault="0018384C">
      <w:pPr>
        <w:tabs>
          <w:tab w:val="left" w:pos="5220"/>
        </w:tabs>
        <w:rPr>
          <w:b/>
          <w:color w:val="538135"/>
        </w:rPr>
      </w:pPr>
    </w:p>
    <w:tbl>
      <w:tblPr>
        <w:tblStyle w:val="a"/>
        <w:tblW w:w="1474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5205"/>
        <w:gridCol w:w="2445"/>
        <w:gridCol w:w="5025"/>
      </w:tblGrid>
      <w:tr w:rsidR="0018384C" w14:paraId="6AC1327A" w14:textId="77777777">
        <w:tc>
          <w:tcPr>
            <w:tcW w:w="2070" w:type="dxa"/>
            <w:shd w:val="clear" w:color="auto" w:fill="2E75B5"/>
          </w:tcPr>
          <w:p w14:paraId="29AFDC35" w14:textId="77777777" w:rsidR="0018384C" w:rsidRDefault="0018384C">
            <w:pPr>
              <w:jc w:val="center"/>
              <w:rPr>
                <w:b/>
                <w:color w:val="FFFFFF"/>
                <w:sz w:val="12"/>
                <w:szCs w:val="12"/>
              </w:rPr>
            </w:pPr>
          </w:p>
          <w:p w14:paraId="5A9FAFC0" w14:textId="77777777" w:rsidR="0018384C" w:rsidRDefault="00000000">
            <w:pPr>
              <w:tabs>
                <w:tab w:val="left" w:pos="5220"/>
              </w:tabs>
              <w:jc w:val="center"/>
              <w:rPr>
                <w:b/>
                <w:color w:val="FFFFFF"/>
                <w:sz w:val="28"/>
                <w:szCs w:val="28"/>
              </w:rPr>
            </w:pPr>
            <w:r>
              <w:rPr>
                <w:b/>
                <w:color w:val="FFFFFF"/>
                <w:sz w:val="28"/>
                <w:szCs w:val="28"/>
              </w:rPr>
              <w:t>State</w:t>
            </w:r>
          </w:p>
          <w:p w14:paraId="3B263211" w14:textId="77777777" w:rsidR="0018384C" w:rsidRDefault="0018384C">
            <w:pPr>
              <w:tabs>
                <w:tab w:val="left" w:pos="5220"/>
              </w:tabs>
              <w:jc w:val="center"/>
              <w:rPr>
                <w:b/>
                <w:color w:val="FFFFFF"/>
              </w:rPr>
            </w:pPr>
          </w:p>
        </w:tc>
        <w:tc>
          <w:tcPr>
            <w:tcW w:w="5205" w:type="dxa"/>
            <w:shd w:val="clear" w:color="auto" w:fill="2E75B5"/>
          </w:tcPr>
          <w:p w14:paraId="435B7D6F" w14:textId="77777777" w:rsidR="0018384C" w:rsidRDefault="0018384C">
            <w:pPr>
              <w:jc w:val="center"/>
              <w:rPr>
                <w:b/>
                <w:color w:val="FFFFFF"/>
                <w:sz w:val="12"/>
                <w:szCs w:val="12"/>
              </w:rPr>
            </w:pPr>
          </w:p>
          <w:p w14:paraId="27E7DB33" w14:textId="77777777" w:rsidR="0018384C" w:rsidRDefault="00000000">
            <w:pPr>
              <w:tabs>
                <w:tab w:val="left" w:pos="5220"/>
              </w:tabs>
              <w:jc w:val="center"/>
              <w:rPr>
                <w:b/>
                <w:color w:val="FFFFFF"/>
              </w:rPr>
            </w:pPr>
            <w:r>
              <w:rPr>
                <w:b/>
                <w:color w:val="FFFFFF"/>
                <w:sz w:val="28"/>
                <w:szCs w:val="28"/>
              </w:rPr>
              <w:t>Current Status</w:t>
            </w:r>
          </w:p>
        </w:tc>
        <w:tc>
          <w:tcPr>
            <w:tcW w:w="2445" w:type="dxa"/>
            <w:shd w:val="clear" w:color="auto" w:fill="2E75B5"/>
          </w:tcPr>
          <w:p w14:paraId="04D0FF22" w14:textId="77777777" w:rsidR="0018384C" w:rsidRDefault="0018384C">
            <w:pPr>
              <w:jc w:val="center"/>
              <w:rPr>
                <w:b/>
                <w:color w:val="FFFFFF"/>
                <w:sz w:val="12"/>
                <w:szCs w:val="12"/>
              </w:rPr>
            </w:pPr>
          </w:p>
          <w:p w14:paraId="60D87964" w14:textId="77777777" w:rsidR="0018384C" w:rsidRDefault="00000000">
            <w:pPr>
              <w:tabs>
                <w:tab w:val="left" w:pos="5220"/>
              </w:tabs>
              <w:jc w:val="center"/>
              <w:rPr>
                <w:b/>
                <w:color w:val="FFFFFF"/>
              </w:rPr>
            </w:pPr>
            <w:r>
              <w:rPr>
                <w:b/>
                <w:color w:val="FFFFFF"/>
                <w:sz w:val="28"/>
                <w:szCs w:val="28"/>
              </w:rPr>
              <w:t>Key Dates</w:t>
            </w:r>
          </w:p>
        </w:tc>
        <w:tc>
          <w:tcPr>
            <w:tcW w:w="5025" w:type="dxa"/>
            <w:shd w:val="clear" w:color="auto" w:fill="2E75B5"/>
          </w:tcPr>
          <w:p w14:paraId="6BB5DA73" w14:textId="77777777" w:rsidR="0018384C" w:rsidRDefault="0018384C">
            <w:pPr>
              <w:jc w:val="center"/>
              <w:rPr>
                <w:b/>
                <w:color w:val="FFFFFF"/>
                <w:sz w:val="12"/>
                <w:szCs w:val="12"/>
              </w:rPr>
            </w:pPr>
          </w:p>
          <w:p w14:paraId="3A8A67E9" w14:textId="77777777" w:rsidR="0018384C" w:rsidRDefault="00000000">
            <w:pPr>
              <w:tabs>
                <w:tab w:val="left" w:pos="5220"/>
              </w:tabs>
              <w:jc w:val="center"/>
              <w:rPr>
                <w:b/>
                <w:color w:val="FFFFFF"/>
              </w:rPr>
            </w:pPr>
            <w:r>
              <w:rPr>
                <w:b/>
                <w:color w:val="FFFFFF"/>
                <w:sz w:val="28"/>
                <w:szCs w:val="28"/>
              </w:rPr>
              <w:t>iDEA Engagement / Opportunities</w:t>
            </w:r>
          </w:p>
        </w:tc>
      </w:tr>
      <w:tr w:rsidR="0018384C" w14:paraId="663A2952" w14:textId="77777777">
        <w:trPr>
          <w:trHeight w:val="1299"/>
        </w:trPr>
        <w:tc>
          <w:tcPr>
            <w:tcW w:w="2070" w:type="dxa"/>
            <w:shd w:val="clear" w:color="auto" w:fill="F2F2F2"/>
          </w:tcPr>
          <w:p w14:paraId="10BA748D" w14:textId="77777777" w:rsidR="0018384C" w:rsidRDefault="00000000">
            <w:pPr>
              <w:jc w:val="center"/>
              <w:rPr>
                <w:b/>
                <w:color w:val="262626"/>
                <w:sz w:val="24"/>
                <w:szCs w:val="24"/>
              </w:rPr>
            </w:pPr>
            <w:r>
              <w:rPr>
                <w:b/>
                <w:color w:val="262626"/>
                <w:sz w:val="24"/>
                <w:szCs w:val="24"/>
              </w:rPr>
              <w:t>DELAWARE</w:t>
            </w:r>
          </w:p>
        </w:tc>
        <w:tc>
          <w:tcPr>
            <w:tcW w:w="5205" w:type="dxa"/>
            <w:shd w:val="clear" w:color="auto" w:fill="F2F2F2"/>
          </w:tcPr>
          <w:p w14:paraId="5C15ECDC" w14:textId="77777777" w:rsidR="0018384C" w:rsidRDefault="00000000">
            <w:pPr>
              <w:rPr>
                <w:sz w:val="21"/>
                <w:szCs w:val="21"/>
              </w:rPr>
            </w:pPr>
            <w:hyperlink r:id="rId8">
              <w:r>
                <w:rPr>
                  <w:color w:val="1155CC"/>
                  <w:sz w:val="21"/>
                  <w:szCs w:val="21"/>
                  <w:u w:val="single"/>
                </w:rPr>
                <w:t>HB 365</w:t>
              </w:r>
            </w:hyperlink>
            <w:r>
              <w:rPr>
                <w:sz w:val="21"/>
                <w:szCs w:val="21"/>
              </w:rPr>
              <w:t xml:space="preserve"> will not advance out of the legislature this session.  </w:t>
            </w:r>
          </w:p>
          <w:p w14:paraId="502C9122" w14:textId="77777777" w:rsidR="0018384C" w:rsidRDefault="0018384C">
            <w:pPr>
              <w:rPr>
                <w:sz w:val="21"/>
                <w:szCs w:val="21"/>
              </w:rPr>
            </w:pPr>
          </w:p>
          <w:p w14:paraId="58C89DB1" w14:textId="77777777" w:rsidR="0018384C" w:rsidRDefault="00000000">
            <w:pPr>
              <w:rPr>
                <w:sz w:val="21"/>
                <w:szCs w:val="21"/>
              </w:rPr>
            </w:pPr>
            <w:r>
              <w:rPr>
                <w:sz w:val="21"/>
                <w:szCs w:val="21"/>
              </w:rPr>
              <w:t xml:space="preserve">iDEA testified in support of the bill at a hearing earlier this year, as did other iDEA members. A copy of </w:t>
            </w:r>
            <w:proofErr w:type="spellStart"/>
            <w:r>
              <w:rPr>
                <w:sz w:val="21"/>
                <w:szCs w:val="21"/>
              </w:rPr>
              <w:t>iDEA’s</w:t>
            </w:r>
            <w:proofErr w:type="spellEnd"/>
            <w:r>
              <w:rPr>
                <w:sz w:val="21"/>
                <w:szCs w:val="21"/>
              </w:rPr>
              <w:t xml:space="preserve"> testimony can be found on the </w:t>
            </w:r>
            <w:hyperlink r:id="rId9">
              <w:r>
                <w:rPr>
                  <w:color w:val="1155CC"/>
                  <w:sz w:val="21"/>
                  <w:szCs w:val="21"/>
                  <w:u w:val="single"/>
                </w:rPr>
                <w:t>Member Portal</w:t>
              </w:r>
            </w:hyperlink>
            <w:r>
              <w:rPr>
                <w:sz w:val="21"/>
                <w:szCs w:val="21"/>
              </w:rPr>
              <w:t xml:space="preserve">.   </w:t>
            </w:r>
          </w:p>
          <w:p w14:paraId="23566F10" w14:textId="77777777" w:rsidR="0018384C" w:rsidRDefault="0018384C">
            <w:pPr>
              <w:rPr>
                <w:sz w:val="21"/>
                <w:szCs w:val="21"/>
                <w:highlight w:val="green"/>
              </w:rPr>
            </w:pPr>
          </w:p>
        </w:tc>
        <w:tc>
          <w:tcPr>
            <w:tcW w:w="2445" w:type="dxa"/>
            <w:shd w:val="clear" w:color="auto" w:fill="F2F2F2"/>
          </w:tcPr>
          <w:p w14:paraId="45EF7188" w14:textId="77777777" w:rsidR="0018384C" w:rsidRDefault="00000000">
            <w:pPr>
              <w:rPr>
                <w:sz w:val="21"/>
                <w:szCs w:val="21"/>
              </w:rPr>
            </w:pPr>
            <w:r>
              <w:rPr>
                <w:sz w:val="21"/>
                <w:szCs w:val="21"/>
              </w:rPr>
              <w:t>June 30 – Adjournment</w:t>
            </w:r>
          </w:p>
        </w:tc>
        <w:tc>
          <w:tcPr>
            <w:tcW w:w="5025" w:type="dxa"/>
            <w:shd w:val="clear" w:color="auto" w:fill="F2F2F2"/>
          </w:tcPr>
          <w:p w14:paraId="0DE35B81" w14:textId="77777777" w:rsidR="0018384C" w:rsidRDefault="00000000">
            <w:pPr>
              <w:rPr>
                <w:sz w:val="21"/>
                <w:szCs w:val="21"/>
              </w:rPr>
            </w:pPr>
            <w:r>
              <w:rPr>
                <w:sz w:val="21"/>
                <w:szCs w:val="21"/>
              </w:rPr>
              <w:t xml:space="preserve">iDEA will continue to connect with legislative leaders to </w:t>
            </w:r>
            <w:proofErr w:type="gramStart"/>
            <w:r>
              <w:rPr>
                <w:sz w:val="21"/>
                <w:szCs w:val="21"/>
              </w:rPr>
              <w:t>promote  competition</w:t>
            </w:r>
            <w:proofErr w:type="gramEnd"/>
            <w:r>
              <w:rPr>
                <w:sz w:val="21"/>
                <w:szCs w:val="21"/>
              </w:rPr>
              <w:t xml:space="preserve"> and prepare for the next legislative session.  </w:t>
            </w:r>
          </w:p>
        </w:tc>
      </w:tr>
      <w:tr w:rsidR="0018384C" w14:paraId="765D9C22" w14:textId="77777777">
        <w:trPr>
          <w:trHeight w:val="3721"/>
        </w:trPr>
        <w:tc>
          <w:tcPr>
            <w:tcW w:w="2070" w:type="dxa"/>
            <w:shd w:val="clear" w:color="auto" w:fill="F2F2F2"/>
          </w:tcPr>
          <w:p w14:paraId="6050173D" w14:textId="77777777" w:rsidR="0018384C" w:rsidRDefault="00000000">
            <w:pPr>
              <w:jc w:val="center"/>
              <w:rPr>
                <w:b/>
                <w:color w:val="262626"/>
                <w:sz w:val="24"/>
                <w:szCs w:val="24"/>
              </w:rPr>
            </w:pPr>
            <w:r>
              <w:rPr>
                <w:b/>
                <w:color w:val="262626"/>
                <w:sz w:val="24"/>
                <w:szCs w:val="24"/>
              </w:rPr>
              <w:t>District of Columbia</w:t>
            </w:r>
          </w:p>
          <w:p w14:paraId="7B9860F0" w14:textId="77777777" w:rsidR="0018384C" w:rsidRDefault="00000000">
            <w:pPr>
              <w:jc w:val="center"/>
              <w:rPr>
                <w:b/>
                <w:color w:val="262626"/>
                <w:sz w:val="24"/>
                <w:szCs w:val="24"/>
              </w:rPr>
            </w:pPr>
            <w:r>
              <w:rPr>
                <w:b/>
                <w:color w:val="262626"/>
                <w:sz w:val="24"/>
                <w:szCs w:val="24"/>
              </w:rPr>
              <w:t>(Washington DC)</w:t>
            </w:r>
          </w:p>
        </w:tc>
        <w:tc>
          <w:tcPr>
            <w:tcW w:w="5205" w:type="dxa"/>
            <w:shd w:val="clear" w:color="auto" w:fill="F2F2F2"/>
          </w:tcPr>
          <w:p w14:paraId="1FCBD8F7" w14:textId="77777777" w:rsidR="0018384C" w:rsidRDefault="00000000">
            <w:pPr>
              <w:rPr>
                <w:color w:val="102235"/>
                <w:sz w:val="21"/>
                <w:szCs w:val="21"/>
              </w:rPr>
            </w:pPr>
            <w:r>
              <w:rPr>
                <w:color w:val="102235"/>
                <w:sz w:val="21"/>
                <w:szCs w:val="21"/>
              </w:rPr>
              <w:t xml:space="preserve">On 07/16 evening the </w:t>
            </w:r>
            <w:proofErr w:type="gramStart"/>
            <w:r>
              <w:rPr>
                <w:color w:val="102235"/>
                <w:sz w:val="21"/>
                <w:szCs w:val="21"/>
              </w:rPr>
              <w:t>Mayor</w:t>
            </w:r>
            <w:proofErr w:type="gramEnd"/>
            <w:r>
              <w:rPr>
                <w:color w:val="102235"/>
                <w:sz w:val="21"/>
                <w:szCs w:val="21"/>
              </w:rPr>
              <w:t xml:space="preserve"> returned the budget bill to the City Council permitting the law to go forward. As a </w:t>
            </w:r>
            <w:proofErr w:type="gramStart"/>
            <w:r>
              <w:rPr>
                <w:color w:val="102235"/>
                <w:sz w:val="21"/>
                <w:szCs w:val="21"/>
              </w:rPr>
              <w:t>result</w:t>
            </w:r>
            <w:proofErr w:type="gramEnd"/>
            <w:r>
              <w:rPr>
                <w:color w:val="102235"/>
                <w:sz w:val="21"/>
                <w:szCs w:val="21"/>
              </w:rPr>
              <w:t xml:space="preserve"> OSB operators were permitted to launch on 07/17. Currently three operators are </w:t>
            </w:r>
            <w:proofErr w:type="gramStart"/>
            <w:r>
              <w:rPr>
                <w:color w:val="102235"/>
                <w:sz w:val="21"/>
                <w:szCs w:val="21"/>
              </w:rPr>
              <w:t>live</w:t>
            </w:r>
            <w:proofErr w:type="gramEnd"/>
            <w:r>
              <w:rPr>
                <w:color w:val="102235"/>
                <w:sz w:val="21"/>
                <w:szCs w:val="21"/>
              </w:rPr>
              <w:t xml:space="preserve"> and we anticipate three additional operators to launch ahead of NFL. </w:t>
            </w:r>
          </w:p>
          <w:p w14:paraId="6A4F4648" w14:textId="77777777" w:rsidR="0018384C" w:rsidRDefault="0018384C">
            <w:pPr>
              <w:rPr>
                <w:color w:val="102235"/>
                <w:sz w:val="21"/>
                <w:szCs w:val="21"/>
              </w:rPr>
            </w:pPr>
          </w:p>
          <w:p w14:paraId="7E482E17" w14:textId="77777777" w:rsidR="0018384C" w:rsidRDefault="00000000">
            <w:pPr>
              <w:rPr>
                <w:color w:val="0563C1"/>
                <w:sz w:val="21"/>
                <w:szCs w:val="21"/>
              </w:rPr>
            </w:pPr>
            <w:r>
              <w:rPr>
                <w:color w:val="102235"/>
                <w:sz w:val="21"/>
                <w:szCs w:val="21"/>
              </w:rPr>
              <w:t xml:space="preserve">Jeff Ifrah recently met with Peter Alvarado and Antar Johnson of Washington DC’s Office of Lottery and Gaming (OLG). A summary of the meeting is included in the following </w:t>
            </w:r>
            <w:hyperlink r:id="rId10">
              <w:r>
                <w:rPr>
                  <w:color w:val="0563C1"/>
                  <w:sz w:val="21"/>
                  <w:szCs w:val="21"/>
                  <w:u w:val="single"/>
                </w:rPr>
                <w:t>MEMO for iDEA members</w:t>
              </w:r>
            </w:hyperlink>
            <w:r>
              <w:rPr>
                <w:color w:val="0563C1"/>
                <w:sz w:val="21"/>
                <w:szCs w:val="21"/>
              </w:rPr>
              <w:t>.</w:t>
            </w:r>
          </w:p>
          <w:p w14:paraId="321D24D0" w14:textId="77777777" w:rsidR="0018384C" w:rsidRDefault="0018384C">
            <w:pPr>
              <w:rPr>
                <w:sz w:val="21"/>
                <w:szCs w:val="21"/>
                <w:highlight w:val="green"/>
              </w:rPr>
            </w:pPr>
          </w:p>
          <w:p w14:paraId="231A0E2A" w14:textId="77777777" w:rsidR="0018384C" w:rsidRDefault="0018384C">
            <w:pPr>
              <w:rPr>
                <w:sz w:val="21"/>
                <w:szCs w:val="21"/>
                <w:highlight w:val="green"/>
              </w:rPr>
            </w:pPr>
          </w:p>
        </w:tc>
        <w:tc>
          <w:tcPr>
            <w:tcW w:w="2445" w:type="dxa"/>
            <w:shd w:val="clear" w:color="auto" w:fill="F2F2F2"/>
          </w:tcPr>
          <w:p w14:paraId="399E297D" w14:textId="77777777" w:rsidR="0018384C" w:rsidRDefault="00000000">
            <w:pPr>
              <w:spacing w:before="240" w:after="240"/>
              <w:rPr>
                <w:sz w:val="21"/>
                <w:szCs w:val="21"/>
              </w:rPr>
            </w:pPr>
            <w:r>
              <w:rPr>
                <w:sz w:val="21"/>
                <w:szCs w:val="21"/>
              </w:rPr>
              <w:t>August 15, 2024- Possible launch date for Class C licensees</w:t>
            </w:r>
          </w:p>
          <w:p w14:paraId="03AA7E26" w14:textId="77777777" w:rsidR="0018384C" w:rsidRDefault="0018384C">
            <w:pPr>
              <w:spacing w:before="240" w:after="240"/>
              <w:rPr>
                <w:sz w:val="21"/>
                <w:szCs w:val="21"/>
                <w:highlight w:val="green"/>
              </w:rPr>
            </w:pPr>
          </w:p>
          <w:p w14:paraId="3EB63433" w14:textId="77777777" w:rsidR="0018384C" w:rsidRDefault="0018384C">
            <w:pPr>
              <w:spacing w:before="240" w:after="240"/>
              <w:rPr>
                <w:sz w:val="21"/>
                <w:szCs w:val="21"/>
                <w:highlight w:val="green"/>
              </w:rPr>
            </w:pPr>
          </w:p>
          <w:p w14:paraId="6EFD4B70" w14:textId="77777777" w:rsidR="0018384C" w:rsidRDefault="0018384C">
            <w:pPr>
              <w:rPr>
                <w:sz w:val="21"/>
                <w:szCs w:val="21"/>
                <w:highlight w:val="green"/>
              </w:rPr>
            </w:pPr>
          </w:p>
        </w:tc>
        <w:tc>
          <w:tcPr>
            <w:tcW w:w="5025" w:type="dxa"/>
            <w:shd w:val="clear" w:color="auto" w:fill="F2F2F2"/>
          </w:tcPr>
          <w:p w14:paraId="0643E966" w14:textId="77777777" w:rsidR="0018384C" w:rsidRDefault="00000000">
            <w:pPr>
              <w:rPr>
                <w:sz w:val="21"/>
                <w:szCs w:val="21"/>
              </w:rPr>
            </w:pPr>
            <w:r>
              <w:rPr>
                <w:sz w:val="21"/>
                <w:szCs w:val="21"/>
              </w:rPr>
              <w:t xml:space="preserve">iDEA is monitoring developments in DC and will relay them to membership. </w:t>
            </w:r>
          </w:p>
        </w:tc>
      </w:tr>
      <w:tr w:rsidR="0018384C" w14:paraId="03EC28DC" w14:textId="77777777">
        <w:trPr>
          <w:trHeight w:val="3960"/>
        </w:trPr>
        <w:tc>
          <w:tcPr>
            <w:tcW w:w="2070" w:type="dxa"/>
            <w:shd w:val="clear" w:color="auto" w:fill="F2F2F2"/>
          </w:tcPr>
          <w:p w14:paraId="003BB965" w14:textId="77777777" w:rsidR="0018384C" w:rsidRDefault="00000000">
            <w:pPr>
              <w:jc w:val="center"/>
              <w:rPr>
                <w:b/>
                <w:color w:val="262626"/>
                <w:sz w:val="24"/>
                <w:szCs w:val="24"/>
              </w:rPr>
            </w:pPr>
            <w:r>
              <w:rPr>
                <w:b/>
                <w:color w:val="262626"/>
                <w:sz w:val="24"/>
                <w:szCs w:val="24"/>
              </w:rPr>
              <w:lastRenderedPageBreak/>
              <w:t>ILLINOIS</w:t>
            </w:r>
          </w:p>
        </w:tc>
        <w:tc>
          <w:tcPr>
            <w:tcW w:w="5205" w:type="dxa"/>
            <w:shd w:val="clear" w:color="auto" w:fill="F2F2F2"/>
          </w:tcPr>
          <w:p w14:paraId="0E4400AE" w14:textId="77777777" w:rsidR="0018384C" w:rsidRDefault="00000000">
            <w:pPr>
              <w:rPr>
                <w:sz w:val="21"/>
                <w:szCs w:val="21"/>
              </w:rPr>
            </w:pPr>
            <w:r>
              <w:rPr>
                <w:sz w:val="21"/>
                <w:szCs w:val="21"/>
              </w:rPr>
              <w:t xml:space="preserve">The Illinois Gaming Board adopted new proposed advertising standards that would apply to OSB operations, as well as other gaming verticals in Illinois. The rules are </w:t>
            </w:r>
            <w:proofErr w:type="gramStart"/>
            <w:r>
              <w:rPr>
                <w:sz w:val="21"/>
                <w:szCs w:val="21"/>
              </w:rPr>
              <w:t>similar to</w:t>
            </w:r>
            <w:proofErr w:type="gramEnd"/>
            <w:r>
              <w:rPr>
                <w:sz w:val="21"/>
                <w:szCs w:val="21"/>
              </w:rPr>
              <w:t xml:space="preserve"> those adopted in OH and MA. </w:t>
            </w:r>
          </w:p>
          <w:p w14:paraId="61DAD466" w14:textId="77777777" w:rsidR="0018384C" w:rsidRDefault="00000000">
            <w:pPr>
              <w:rPr>
                <w:sz w:val="21"/>
                <w:szCs w:val="21"/>
              </w:rPr>
            </w:pPr>
            <w:r>
              <w:rPr>
                <w:sz w:val="21"/>
                <w:szCs w:val="21"/>
              </w:rPr>
              <w:t>The proposed rules say:</w:t>
            </w:r>
          </w:p>
          <w:p w14:paraId="23133650" w14:textId="77777777" w:rsidR="0018384C" w:rsidRDefault="0018384C">
            <w:pPr>
              <w:rPr>
                <w:sz w:val="21"/>
                <w:szCs w:val="21"/>
              </w:rPr>
            </w:pPr>
          </w:p>
          <w:p w14:paraId="33175E46" w14:textId="77777777" w:rsidR="0018384C" w:rsidRDefault="00000000">
            <w:pPr>
              <w:numPr>
                <w:ilvl w:val="0"/>
                <w:numId w:val="1"/>
              </w:numPr>
              <w:rPr>
                <w:sz w:val="21"/>
                <w:szCs w:val="21"/>
              </w:rPr>
            </w:pPr>
            <w:r>
              <w:rPr>
                <w:sz w:val="21"/>
                <w:szCs w:val="21"/>
              </w:rPr>
              <w:t xml:space="preserve">Operators may not promote that wagering is “free of risk” in any </w:t>
            </w:r>
            <w:proofErr w:type="gramStart"/>
            <w:r>
              <w:rPr>
                <w:sz w:val="21"/>
                <w:szCs w:val="21"/>
              </w:rPr>
              <w:t>way;</w:t>
            </w:r>
            <w:proofErr w:type="gramEnd"/>
          </w:p>
          <w:p w14:paraId="22887AA6" w14:textId="77777777" w:rsidR="0018384C" w:rsidRDefault="00000000">
            <w:pPr>
              <w:numPr>
                <w:ilvl w:val="0"/>
                <w:numId w:val="1"/>
              </w:numPr>
              <w:rPr>
                <w:sz w:val="21"/>
                <w:szCs w:val="21"/>
              </w:rPr>
            </w:pPr>
            <w:r>
              <w:rPr>
                <w:sz w:val="21"/>
                <w:szCs w:val="21"/>
              </w:rPr>
              <w:t>Operators may not use the words or phrases “free”, “cost-free” or “free of risk</w:t>
            </w:r>
            <w:proofErr w:type="gramStart"/>
            <w:r>
              <w:rPr>
                <w:sz w:val="21"/>
                <w:szCs w:val="21"/>
              </w:rPr>
              <w:t>”;</w:t>
            </w:r>
            <w:proofErr w:type="gramEnd"/>
          </w:p>
          <w:p w14:paraId="68D5F643" w14:textId="77777777" w:rsidR="0018384C" w:rsidRDefault="00000000">
            <w:pPr>
              <w:numPr>
                <w:ilvl w:val="0"/>
                <w:numId w:val="1"/>
              </w:numPr>
              <w:rPr>
                <w:sz w:val="21"/>
                <w:szCs w:val="21"/>
              </w:rPr>
            </w:pPr>
            <w:r>
              <w:rPr>
                <w:sz w:val="21"/>
                <w:szCs w:val="21"/>
              </w:rPr>
              <w:t xml:space="preserve">No wagering advertising is permitted at venues where the majority of attendees are likely to be under </w:t>
            </w:r>
            <w:proofErr w:type="gramStart"/>
            <w:r>
              <w:rPr>
                <w:sz w:val="21"/>
                <w:szCs w:val="21"/>
              </w:rPr>
              <w:t>21;</w:t>
            </w:r>
            <w:proofErr w:type="gramEnd"/>
          </w:p>
          <w:p w14:paraId="73555EE0" w14:textId="77777777" w:rsidR="0018384C" w:rsidRDefault="00000000">
            <w:pPr>
              <w:numPr>
                <w:ilvl w:val="0"/>
                <w:numId w:val="1"/>
              </w:numPr>
              <w:rPr>
                <w:sz w:val="21"/>
                <w:szCs w:val="21"/>
              </w:rPr>
            </w:pPr>
            <w:r>
              <w:rPr>
                <w:sz w:val="21"/>
                <w:szCs w:val="21"/>
              </w:rPr>
              <w:t xml:space="preserve">Sports betting advertising is not permitted on college campuses or on any college media. As an </w:t>
            </w:r>
            <w:proofErr w:type="gramStart"/>
            <w:r>
              <w:rPr>
                <w:sz w:val="21"/>
                <w:szCs w:val="21"/>
              </w:rPr>
              <w:t>example</w:t>
            </w:r>
            <w:proofErr w:type="gramEnd"/>
            <w:r>
              <w:rPr>
                <w:sz w:val="21"/>
                <w:szCs w:val="21"/>
              </w:rPr>
              <w:t xml:space="preserve"> betting ads are banned from college newspapers;</w:t>
            </w:r>
          </w:p>
          <w:p w14:paraId="2D259EDA" w14:textId="77777777" w:rsidR="0018384C" w:rsidRDefault="00000000">
            <w:pPr>
              <w:numPr>
                <w:ilvl w:val="0"/>
                <w:numId w:val="1"/>
              </w:numPr>
              <w:rPr>
                <w:sz w:val="21"/>
                <w:szCs w:val="21"/>
              </w:rPr>
            </w:pPr>
            <w:r>
              <w:rPr>
                <w:sz w:val="21"/>
                <w:szCs w:val="21"/>
              </w:rPr>
              <w:t>College or university students or settings may not be depicted in advertising; and</w:t>
            </w:r>
          </w:p>
          <w:p w14:paraId="174BE531" w14:textId="77777777" w:rsidR="0018384C" w:rsidRDefault="00000000">
            <w:pPr>
              <w:numPr>
                <w:ilvl w:val="0"/>
                <w:numId w:val="1"/>
              </w:numPr>
              <w:rPr>
                <w:sz w:val="21"/>
                <w:szCs w:val="21"/>
              </w:rPr>
            </w:pPr>
            <w:r>
              <w:rPr>
                <w:sz w:val="21"/>
                <w:szCs w:val="21"/>
              </w:rPr>
              <w:t>Wagering messages/logos may not be used on items such as clothes or toys that could appeal to those under 21.</w:t>
            </w:r>
          </w:p>
          <w:p w14:paraId="55A45407" w14:textId="77777777" w:rsidR="0018384C" w:rsidRDefault="0018384C">
            <w:pPr>
              <w:ind w:left="720"/>
              <w:rPr>
                <w:sz w:val="21"/>
                <w:szCs w:val="21"/>
              </w:rPr>
            </w:pPr>
          </w:p>
          <w:p w14:paraId="1C387879" w14:textId="77777777" w:rsidR="0018384C" w:rsidRDefault="00000000">
            <w:pPr>
              <w:rPr>
                <w:sz w:val="21"/>
                <w:szCs w:val="21"/>
              </w:rPr>
            </w:pPr>
            <w:r>
              <w:rPr>
                <w:sz w:val="21"/>
                <w:szCs w:val="21"/>
              </w:rPr>
              <w:t xml:space="preserve">The rules also prohibit revenue sharing agreements for affiliate marketing. </w:t>
            </w:r>
          </w:p>
          <w:p w14:paraId="3D726AF6" w14:textId="77777777" w:rsidR="0018384C" w:rsidRDefault="0018384C">
            <w:pPr>
              <w:rPr>
                <w:sz w:val="21"/>
                <w:szCs w:val="21"/>
              </w:rPr>
            </w:pPr>
          </w:p>
          <w:p w14:paraId="697E3143" w14:textId="77777777" w:rsidR="0018384C" w:rsidRDefault="00000000">
            <w:pPr>
              <w:rPr>
                <w:sz w:val="21"/>
                <w:szCs w:val="21"/>
              </w:rPr>
            </w:pPr>
            <w:r>
              <w:rPr>
                <w:sz w:val="21"/>
                <w:szCs w:val="21"/>
              </w:rPr>
              <w:t xml:space="preserve">Full proposed rules can be found on the iDEA </w:t>
            </w:r>
            <w:hyperlink r:id="rId11">
              <w:r>
                <w:rPr>
                  <w:color w:val="1155CC"/>
                  <w:sz w:val="21"/>
                  <w:szCs w:val="21"/>
                  <w:u w:val="single"/>
                </w:rPr>
                <w:t>Member Portal</w:t>
              </w:r>
            </w:hyperlink>
            <w:r>
              <w:rPr>
                <w:sz w:val="21"/>
                <w:szCs w:val="21"/>
              </w:rPr>
              <w:t>.</w:t>
            </w:r>
          </w:p>
          <w:p w14:paraId="2934C5A3" w14:textId="77777777" w:rsidR="0018384C" w:rsidRDefault="0018384C">
            <w:pPr>
              <w:rPr>
                <w:sz w:val="21"/>
                <w:szCs w:val="21"/>
                <w:highlight w:val="green"/>
              </w:rPr>
            </w:pPr>
          </w:p>
        </w:tc>
        <w:tc>
          <w:tcPr>
            <w:tcW w:w="2445" w:type="dxa"/>
            <w:shd w:val="clear" w:color="auto" w:fill="F2F2F2"/>
          </w:tcPr>
          <w:p w14:paraId="688EC013" w14:textId="77777777" w:rsidR="0018384C" w:rsidRDefault="00000000">
            <w:pPr>
              <w:rPr>
                <w:sz w:val="21"/>
                <w:szCs w:val="21"/>
              </w:rPr>
            </w:pPr>
            <w:r>
              <w:rPr>
                <w:sz w:val="21"/>
                <w:szCs w:val="21"/>
              </w:rPr>
              <w:t xml:space="preserve">45 Day Comment window on these proposed rules once they are published in the Illinois Register. The IGB has up to one year to finalize the rules. </w:t>
            </w:r>
          </w:p>
        </w:tc>
        <w:tc>
          <w:tcPr>
            <w:tcW w:w="5025" w:type="dxa"/>
            <w:shd w:val="clear" w:color="auto" w:fill="F2F2F2"/>
          </w:tcPr>
          <w:p w14:paraId="476B8C24" w14:textId="77777777" w:rsidR="0018384C" w:rsidRDefault="00000000">
            <w:pPr>
              <w:rPr>
                <w:sz w:val="21"/>
                <w:szCs w:val="21"/>
              </w:rPr>
            </w:pPr>
            <w:r>
              <w:rPr>
                <w:sz w:val="21"/>
                <w:szCs w:val="21"/>
              </w:rPr>
              <w:t>IDEA is following this process and will evaluate commenting on the rules should members agree that comments would be appropriate.</w:t>
            </w:r>
          </w:p>
        </w:tc>
      </w:tr>
      <w:tr w:rsidR="0018384C" w14:paraId="79A2234F" w14:textId="77777777">
        <w:trPr>
          <w:trHeight w:val="2205"/>
        </w:trPr>
        <w:tc>
          <w:tcPr>
            <w:tcW w:w="2070" w:type="dxa"/>
            <w:shd w:val="clear" w:color="auto" w:fill="F2F2F2"/>
          </w:tcPr>
          <w:p w14:paraId="15E822FE" w14:textId="77777777" w:rsidR="0018384C" w:rsidRDefault="00000000">
            <w:pPr>
              <w:jc w:val="center"/>
              <w:rPr>
                <w:b/>
                <w:color w:val="262626"/>
                <w:sz w:val="24"/>
                <w:szCs w:val="24"/>
              </w:rPr>
            </w:pPr>
            <w:r>
              <w:rPr>
                <w:b/>
                <w:color w:val="262626"/>
                <w:sz w:val="24"/>
                <w:szCs w:val="24"/>
              </w:rPr>
              <w:lastRenderedPageBreak/>
              <w:t>MISSOURI</w:t>
            </w:r>
          </w:p>
        </w:tc>
        <w:tc>
          <w:tcPr>
            <w:tcW w:w="5205" w:type="dxa"/>
            <w:shd w:val="clear" w:color="auto" w:fill="F2F2F2"/>
          </w:tcPr>
          <w:p w14:paraId="05931E0E" w14:textId="77777777" w:rsidR="0018384C" w:rsidRDefault="00000000">
            <w:pPr>
              <w:rPr>
                <w:sz w:val="21"/>
                <w:szCs w:val="21"/>
                <w:highlight w:val="green"/>
              </w:rPr>
            </w:pPr>
            <w:r>
              <w:rPr>
                <w:sz w:val="21"/>
                <w:szCs w:val="21"/>
                <w:highlight w:val="green"/>
              </w:rPr>
              <w:t xml:space="preserve">Money continues to flow into the pro ($30m) and against ($14m) side of the ballot. Current polling suggests that there is 52% support, but nearly 25% of voters are still undecided. </w:t>
            </w:r>
          </w:p>
          <w:p w14:paraId="77F49FE7" w14:textId="77777777" w:rsidR="0018384C" w:rsidRDefault="0018384C">
            <w:pPr>
              <w:rPr>
                <w:sz w:val="21"/>
                <w:szCs w:val="21"/>
                <w:highlight w:val="green"/>
              </w:rPr>
            </w:pPr>
          </w:p>
          <w:p w14:paraId="7EA7502F" w14:textId="77777777" w:rsidR="0018384C" w:rsidRDefault="00000000">
            <w:pPr>
              <w:rPr>
                <w:sz w:val="21"/>
                <w:szCs w:val="21"/>
                <w:highlight w:val="green"/>
              </w:rPr>
            </w:pPr>
            <w:r>
              <w:rPr>
                <w:sz w:val="21"/>
                <w:szCs w:val="21"/>
                <w:highlight w:val="green"/>
              </w:rPr>
              <w:t xml:space="preserve">The ballot measure secured endorsements this week from two politicians running for office and two of the state's biggest papers. The state’s </w:t>
            </w:r>
            <w:proofErr w:type="gramStart"/>
            <w:r>
              <w:rPr>
                <w:sz w:val="21"/>
                <w:szCs w:val="21"/>
                <w:highlight w:val="green"/>
              </w:rPr>
              <w:t>teachers</w:t>
            </w:r>
            <w:proofErr w:type="gramEnd"/>
            <w:r>
              <w:rPr>
                <w:sz w:val="21"/>
                <w:szCs w:val="21"/>
                <w:highlight w:val="green"/>
              </w:rPr>
              <w:t xml:space="preserve"> union has come out against the measure saying that the promised tax dollars are not secure. </w:t>
            </w:r>
          </w:p>
          <w:p w14:paraId="73BC113C" w14:textId="77777777" w:rsidR="0018384C" w:rsidRDefault="0018384C">
            <w:pPr>
              <w:rPr>
                <w:sz w:val="21"/>
                <w:szCs w:val="21"/>
              </w:rPr>
            </w:pPr>
          </w:p>
        </w:tc>
        <w:tc>
          <w:tcPr>
            <w:tcW w:w="2445" w:type="dxa"/>
            <w:shd w:val="clear" w:color="auto" w:fill="F2F2F2"/>
          </w:tcPr>
          <w:p w14:paraId="10EE15DF" w14:textId="77777777" w:rsidR="0018384C" w:rsidRDefault="0018384C">
            <w:pPr>
              <w:rPr>
                <w:sz w:val="21"/>
                <w:szCs w:val="21"/>
                <w:highlight w:val="green"/>
              </w:rPr>
            </w:pPr>
          </w:p>
          <w:p w14:paraId="18C9D538" w14:textId="77777777" w:rsidR="0018384C" w:rsidRDefault="00000000">
            <w:pPr>
              <w:rPr>
                <w:sz w:val="21"/>
                <w:szCs w:val="21"/>
              </w:rPr>
            </w:pPr>
            <w:r>
              <w:rPr>
                <w:sz w:val="21"/>
                <w:szCs w:val="21"/>
              </w:rPr>
              <w:t xml:space="preserve">November 5th – Election day! </w:t>
            </w:r>
          </w:p>
        </w:tc>
        <w:tc>
          <w:tcPr>
            <w:tcW w:w="5025" w:type="dxa"/>
            <w:shd w:val="clear" w:color="auto" w:fill="F2F2F2"/>
          </w:tcPr>
          <w:p w14:paraId="12058A95" w14:textId="77777777" w:rsidR="0018384C" w:rsidRDefault="00000000">
            <w:pPr>
              <w:rPr>
                <w:sz w:val="21"/>
                <w:szCs w:val="21"/>
              </w:rPr>
            </w:pPr>
            <w:r>
              <w:rPr>
                <w:sz w:val="21"/>
                <w:szCs w:val="21"/>
              </w:rPr>
              <w:t>IDEA will actively monitor the progress of the ballot initiative.</w:t>
            </w:r>
          </w:p>
        </w:tc>
      </w:tr>
      <w:tr w:rsidR="0018384C" w14:paraId="3191852D" w14:textId="77777777">
        <w:trPr>
          <w:trHeight w:val="2205"/>
        </w:trPr>
        <w:tc>
          <w:tcPr>
            <w:tcW w:w="2070" w:type="dxa"/>
            <w:shd w:val="clear" w:color="auto" w:fill="F2F2F2"/>
          </w:tcPr>
          <w:p w14:paraId="5C317BD8" w14:textId="77777777" w:rsidR="0018384C" w:rsidRDefault="00000000">
            <w:pPr>
              <w:jc w:val="center"/>
              <w:rPr>
                <w:b/>
                <w:color w:val="262626"/>
                <w:sz w:val="24"/>
                <w:szCs w:val="24"/>
              </w:rPr>
            </w:pPr>
            <w:r>
              <w:rPr>
                <w:b/>
                <w:color w:val="262626"/>
                <w:sz w:val="24"/>
                <w:szCs w:val="24"/>
              </w:rPr>
              <w:t>MARYLAND</w:t>
            </w:r>
          </w:p>
        </w:tc>
        <w:tc>
          <w:tcPr>
            <w:tcW w:w="5205" w:type="dxa"/>
            <w:shd w:val="clear" w:color="auto" w:fill="F2F2F2"/>
          </w:tcPr>
          <w:p w14:paraId="7168E7E8" w14:textId="77777777" w:rsidR="0018384C" w:rsidRDefault="00000000">
            <w:pPr>
              <w:rPr>
                <w:sz w:val="21"/>
                <w:szCs w:val="21"/>
              </w:rPr>
            </w:pPr>
            <w:r>
              <w:rPr>
                <w:sz w:val="21"/>
                <w:szCs w:val="21"/>
              </w:rPr>
              <w:t>The Maryland Register published on 10/04 did not include any of the proposed rules related to sports wagering/DFS/promotion deductions. Next Reister will publish on 10/18.</w:t>
            </w:r>
          </w:p>
          <w:p w14:paraId="60959256" w14:textId="77777777" w:rsidR="0018384C" w:rsidRDefault="0018384C">
            <w:pPr>
              <w:rPr>
                <w:sz w:val="21"/>
                <w:szCs w:val="21"/>
              </w:rPr>
            </w:pPr>
          </w:p>
          <w:p w14:paraId="651BCC2D" w14:textId="77777777" w:rsidR="0018384C" w:rsidRDefault="00000000">
            <w:pPr>
              <w:rPr>
                <w:sz w:val="21"/>
                <w:szCs w:val="21"/>
              </w:rPr>
            </w:pPr>
            <w:r>
              <w:rPr>
                <w:sz w:val="21"/>
                <w:szCs w:val="21"/>
              </w:rPr>
              <w:t>On 09/26 the Commission issued proposed rules that would eliminate promotional deductions for OSB operators as well as for land-based casino table games.</w:t>
            </w:r>
          </w:p>
          <w:p w14:paraId="7674B981" w14:textId="77777777" w:rsidR="0018384C" w:rsidRDefault="0018384C">
            <w:pPr>
              <w:rPr>
                <w:sz w:val="21"/>
                <w:szCs w:val="21"/>
              </w:rPr>
            </w:pPr>
          </w:p>
          <w:p w14:paraId="76FD7DED" w14:textId="77777777" w:rsidR="0018384C" w:rsidRDefault="00000000">
            <w:pPr>
              <w:rPr>
                <w:sz w:val="21"/>
                <w:szCs w:val="21"/>
              </w:rPr>
            </w:pPr>
            <w:r>
              <w:rPr>
                <w:sz w:val="21"/>
                <w:szCs w:val="21"/>
              </w:rPr>
              <w:t>A full update and copies of the proposed rules can be found on the</w:t>
            </w:r>
            <w:r>
              <w:rPr>
                <w:sz w:val="19"/>
                <w:szCs w:val="19"/>
              </w:rPr>
              <w:t xml:space="preserve"> </w:t>
            </w:r>
            <w:hyperlink r:id="rId12">
              <w:r>
                <w:rPr>
                  <w:color w:val="1155CC"/>
                  <w:sz w:val="21"/>
                  <w:szCs w:val="21"/>
                  <w:u w:val="single"/>
                </w:rPr>
                <w:t>Member Portal</w:t>
              </w:r>
            </w:hyperlink>
            <w:r>
              <w:rPr>
                <w:sz w:val="21"/>
                <w:szCs w:val="21"/>
              </w:rPr>
              <w:t>.</w:t>
            </w:r>
          </w:p>
          <w:p w14:paraId="75D4D4DF" w14:textId="77777777" w:rsidR="0018384C" w:rsidRDefault="0018384C">
            <w:pPr>
              <w:rPr>
                <w:sz w:val="21"/>
                <w:szCs w:val="21"/>
              </w:rPr>
            </w:pPr>
          </w:p>
          <w:p w14:paraId="00F75EE2" w14:textId="77777777" w:rsidR="0018384C" w:rsidRDefault="00000000">
            <w:pPr>
              <w:rPr>
                <w:sz w:val="21"/>
                <w:szCs w:val="21"/>
              </w:rPr>
            </w:pPr>
            <w:r>
              <w:rPr>
                <w:sz w:val="21"/>
                <w:szCs w:val="21"/>
              </w:rPr>
              <w:t xml:space="preserve">These rules and the other proposed rules  (see </w:t>
            </w:r>
            <w:hyperlink r:id="rId13">
              <w:r>
                <w:rPr>
                  <w:color w:val="1155CC"/>
                  <w:sz w:val="21"/>
                  <w:szCs w:val="21"/>
                  <w:u w:val="single"/>
                </w:rPr>
                <w:t>Member Portal</w:t>
              </w:r>
            </w:hyperlink>
            <w:r>
              <w:rPr>
                <w:sz w:val="21"/>
                <w:szCs w:val="21"/>
              </w:rPr>
              <w:t xml:space="preserve">) shared previously have not been published in the Register. Once published a </w:t>
            </w:r>
            <w:proofErr w:type="gramStart"/>
            <w:r>
              <w:rPr>
                <w:sz w:val="21"/>
                <w:szCs w:val="21"/>
              </w:rPr>
              <w:t>30 day</w:t>
            </w:r>
            <w:proofErr w:type="gramEnd"/>
            <w:r>
              <w:rPr>
                <w:sz w:val="21"/>
                <w:szCs w:val="21"/>
              </w:rPr>
              <w:t xml:space="preserve"> comment period will open. The next edition of the Register will publish on 10/04.</w:t>
            </w:r>
          </w:p>
          <w:p w14:paraId="2CFFBEEC" w14:textId="77777777" w:rsidR="0018384C" w:rsidRDefault="0018384C">
            <w:pPr>
              <w:rPr>
                <w:sz w:val="21"/>
                <w:szCs w:val="21"/>
                <w:highlight w:val="green"/>
              </w:rPr>
            </w:pPr>
          </w:p>
          <w:p w14:paraId="6A4C2DC3" w14:textId="77777777" w:rsidR="0018384C" w:rsidRDefault="0018384C">
            <w:pPr>
              <w:rPr>
                <w:sz w:val="21"/>
                <w:szCs w:val="21"/>
                <w:highlight w:val="green"/>
              </w:rPr>
            </w:pPr>
          </w:p>
        </w:tc>
        <w:tc>
          <w:tcPr>
            <w:tcW w:w="2445" w:type="dxa"/>
            <w:shd w:val="clear" w:color="auto" w:fill="F2F2F2"/>
          </w:tcPr>
          <w:p w14:paraId="078488DE" w14:textId="77777777" w:rsidR="0018384C" w:rsidRDefault="00000000">
            <w:pPr>
              <w:rPr>
                <w:sz w:val="21"/>
                <w:szCs w:val="21"/>
              </w:rPr>
            </w:pPr>
            <w:r>
              <w:rPr>
                <w:sz w:val="21"/>
                <w:szCs w:val="21"/>
              </w:rPr>
              <w:t xml:space="preserve">10/18 – next chance for the rules to be included in the MD Register. Once published, there will be a </w:t>
            </w:r>
            <w:proofErr w:type="gramStart"/>
            <w:r>
              <w:rPr>
                <w:sz w:val="21"/>
                <w:szCs w:val="21"/>
              </w:rPr>
              <w:t>30 day</w:t>
            </w:r>
            <w:proofErr w:type="gramEnd"/>
            <w:r>
              <w:rPr>
                <w:sz w:val="21"/>
                <w:szCs w:val="21"/>
              </w:rPr>
              <w:t xml:space="preserve"> comment period. </w:t>
            </w:r>
          </w:p>
          <w:p w14:paraId="0283618D" w14:textId="77777777" w:rsidR="0018384C" w:rsidRDefault="0018384C">
            <w:pPr>
              <w:rPr>
                <w:sz w:val="21"/>
                <w:szCs w:val="21"/>
              </w:rPr>
            </w:pPr>
          </w:p>
          <w:p w14:paraId="05421AD8" w14:textId="77777777" w:rsidR="0018384C" w:rsidRDefault="00000000">
            <w:pPr>
              <w:rPr>
                <w:sz w:val="21"/>
                <w:szCs w:val="21"/>
              </w:rPr>
            </w:pPr>
            <w:r>
              <w:rPr>
                <w:sz w:val="21"/>
                <w:szCs w:val="21"/>
              </w:rPr>
              <w:t xml:space="preserve">10/24 – MD Commission’s next meeting. A live stream will be available at </w:t>
            </w:r>
            <w:hyperlink r:id="rId14">
              <w:r>
                <w:rPr>
                  <w:color w:val="1155CC"/>
                  <w:sz w:val="21"/>
                  <w:szCs w:val="21"/>
                  <w:u w:val="single"/>
                </w:rPr>
                <w:t>this link</w:t>
              </w:r>
            </w:hyperlink>
            <w:r>
              <w:rPr>
                <w:sz w:val="21"/>
                <w:szCs w:val="21"/>
              </w:rPr>
              <w:t xml:space="preserve"> on the day of the meeting. </w:t>
            </w:r>
          </w:p>
        </w:tc>
        <w:tc>
          <w:tcPr>
            <w:tcW w:w="5025" w:type="dxa"/>
            <w:shd w:val="clear" w:color="auto" w:fill="F2F2F2"/>
          </w:tcPr>
          <w:p w14:paraId="540C81EC" w14:textId="77777777" w:rsidR="0018384C" w:rsidRDefault="00000000">
            <w:pPr>
              <w:rPr>
                <w:sz w:val="21"/>
                <w:szCs w:val="21"/>
              </w:rPr>
            </w:pPr>
            <w:r>
              <w:rPr>
                <w:sz w:val="21"/>
                <w:szCs w:val="21"/>
              </w:rPr>
              <w:t xml:space="preserve">iDEA is monitoring these regulatory developments and will continue to update membership. </w:t>
            </w:r>
          </w:p>
          <w:p w14:paraId="7EE12711" w14:textId="77777777" w:rsidR="0018384C" w:rsidRDefault="0018384C">
            <w:pPr>
              <w:rPr>
                <w:sz w:val="21"/>
                <w:szCs w:val="21"/>
              </w:rPr>
            </w:pPr>
          </w:p>
          <w:p w14:paraId="1EA4C11F" w14:textId="77777777" w:rsidR="0018384C" w:rsidRDefault="00000000">
            <w:pPr>
              <w:rPr>
                <w:sz w:val="21"/>
                <w:szCs w:val="21"/>
              </w:rPr>
            </w:pPr>
            <w:r>
              <w:rPr>
                <w:sz w:val="21"/>
                <w:szCs w:val="21"/>
              </w:rPr>
              <w:t xml:space="preserve">We will engage with the regulator through public comments and in-person to discuss the proposed rule changes. </w:t>
            </w:r>
          </w:p>
        </w:tc>
      </w:tr>
      <w:tr w:rsidR="0018384C" w14:paraId="0CBCC7A6" w14:textId="77777777">
        <w:trPr>
          <w:trHeight w:val="2205"/>
        </w:trPr>
        <w:tc>
          <w:tcPr>
            <w:tcW w:w="2070" w:type="dxa"/>
            <w:shd w:val="clear" w:color="auto" w:fill="F2F2F2"/>
          </w:tcPr>
          <w:p w14:paraId="36AECAB1" w14:textId="77777777" w:rsidR="0018384C" w:rsidRDefault="00000000">
            <w:pPr>
              <w:jc w:val="center"/>
              <w:rPr>
                <w:b/>
                <w:color w:val="262626"/>
                <w:sz w:val="24"/>
                <w:szCs w:val="24"/>
              </w:rPr>
            </w:pPr>
            <w:r>
              <w:rPr>
                <w:b/>
                <w:color w:val="262626"/>
                <w:sz w:val="24"/>
                <w:szCs w:val="24"/>
              </w:rPr>
              <w:lastRenderedPageBreak/>
              <w:t>NORTH CAROLINA</w:t>
            </w:r>
          </w:p>
        </w:tc>
        <w:tc>
          <w:tcPr>
            <w:tcW w:w="5205" w:type="dxa"/>
            <w:shd w:val="clear" w:color="auto" w:fill="F2F2F2"/>
          </w:tcPr>
          <w:p w14:paraId="6AA2BCBE" w14:textId="77777777" w:rsidR="0018384C" w:rsidRDefault="00000000">
            <w:pPr>
              <w:spacing w:before="240" w:after="240"/>
              <w:rPr>
                <w:color w:val="1155CC"/>
                <w:sz w:val="21"/>
                <w:szCs w:val="21"/>
                <w:u w:val="single"/>
              </w:rPr>
            </w:pPr>
            <w:r>
              <w:rPr>
                <w:sz w:val="21"/>
                <w:szCs w:val="21"/>
              </w:rPr>
              <w:t>The North Carolina State Lottery Commission issued a</w:t>
            </w:r>
            <w:r>
              <w:rPr>
                <w:b/>
                <w:sz w:val="21"/>
                <w:szCs w:val="21"/>
              </w:rPr>
              <w:t xml:space="preserve"> </w:t>
            </w:r>
            <w:hyperlink r:id="rId15">
              <w:r>
                <w:rPr>
                  <w:b/>
                  <w:color w:val="1155CC"/>
                  <w:sz w:val="21"/>
                  <w:szCs w:val="21"/>
                  <w:u w:val="single"/>
                </w:rPr>
                <w:t>Notice of Proposed Rulemaking</w:t>
              </w:r>
            </w:hyperlink>
            <w:r>
              <w:rPr>
                <w:sz w:val="21"/>
                <w:szCs w:val="21"/>
              </w:rPr>
              <w:t xml:space="preserve"> for sports wagering and pari-mutuel wagering</w:t>
            </w:r>
            <w:hyperlink r:id="rId16">
              <w:r>
                <w:rPr>
                  <w:color w:val="1155CC"/>
                  <w:sz w:val="21"/>
                  <w:szCs w:val="21"/>
                  <w:u w:val="single"/>
                </w:rPr>
                <w:t>.</w:t>
              </w:r>
            </w:hyperlink>
          </w:p>
          <w:p w14:paraId="002FBA11" w14:textId="77777777" w:rsidR="0018384C" w:rsidRDefault="00000000">
            <w:pPr>
              <w:spacing w:before="240" w:after="240"/>
              <w:rPr>
                <w:sz w:val="21"/>
                <w:szCs w:val="21"/>
              </w:rPr>
            </w:pPr>
            <w:r>
              <w:rPr>
                <w:sz w:val="21"/>
                <w:szCs w:val="21"/>
              </w:rPr>
              <w:t xml:space="preserve">The Commission will accept public comments regarding these rules through </w:t>
            </w:r>
            <w:r>
              <w:rPr>
                <w:b/>
                <w:sz w:val="21"/>
                <w:szCs w:val="21"/>
              </w:rPr>
              <w:t>11:59 p.m. Oct. 18</w:t>
            </w:r>
            <w:r>
              <w:rPr>
                <w:sz w:val="21"/>
                <w:szCs w:val="21"/>
              </w:rPr>
              <w:t xml:space="preserve">. To submit comments, use the </w:t>
            </w:r>
            <w:hyperlink r:id="rId17">
              <w:r>
                <w:rPr>
                  <w:color w:val="1155CC"/>
                  <w:sz w:val="21"/>
                  <w:szCs w:val="21"/>
                  <w:u w:val="single"/>
                </w:rPr>
                <w:t>Public Comment Submission for Proposed Rulemaking (smartsheet.com)</w:t>
              </w:r>
            </w:hyperlink>
          </w:p>
          <w:p w14:paraId="4201C703" w14:textId="77777777" w:rsidR="0018384C" w:rsidRDefault="00000000">
            <w:pPr>
              <w:spacing w:before="240" w:after="240"/>
              <w:rPr>
                <w:sz w:val="21"/>
                <w:szCs w:val="21"/>
              </w:rPr>
            </w:pPr>
            <w:r>
              <w:rPr>
                <w:sz w:val="21"/>
                <w:szCs w:val="21"/>
              </w:rPr>
              <w:t xml:space="preserve">If you prefer to submit comments in another format, please email comments to </w:t>
            </w:r>
            <w:r>
              <w:rPr>
                <w:b/>
                <w:sz w:val="21"/>
                <w:szCs w:val="21"/>
              </w:rPr>
              <w:t>PublicComment@ncgaming.gov,</w:t>
            </w:r>
            <w:r>
              <w:rPr>
                <w:sz w:val="21"/>
                <w:szCs w:val="21"/>
              </w:rPr>
              <w:t xml:space="preserve"> along with your name and contact information, business or organization (if applicable), and the rule numbers to which your comments relate.</w:t>
            </w:r>
          </w:p>
          <w:p w14:paraId="593C97B4" w14:textId="77777777" w:rsidR="0018384C" w:rsidRDefault="0018384C">
            <w:pPr>
              <w:spacing w:before="240" w:after="240"/>
              <w:rPr>
                <w:sz w:val="21"/>
                <w:szCs w:val="21"/>
              </w:rPr>
            </w:pPr>
          </w:p>
          <w:p w14:paraId="0494C5E9" w14:textId="77777777" w:rsidR="0018384C" w:rsidRDefault="0018384C">
            <w:pPr>
              <w:rPr>
                <w:sz w:val="21"/>
                <w:szCs w:val="21"/>
              </w:rPr>
            </w:pPr>
          </w:p>
        </w:tc>
        <w:tc>
          <w:tcPr>
            <w:tcW w:w="2445" w:type="dxa"/>
            <w:shd w:val="clear" w:color="auto" w:fill="F2F2F2"/>
          </w:tcPr>
          <w:p w14:paraId="5A79363D" w14:textId="77777777" w:rsidR="0018384C" w:rsidRDefault="0018384C">
            <w:pPr>
              <w:rPr>
                <w:sz w:val="21"/>
                <w:szCs w:val="21"/>
                <w:highlight w:val="green"/>
              </w:rPr>
            </w:pPr>
          </w:p>
          <w:p w14:paraId="77229DA5" w14:textId="77777777" w:rsidR="0018384C" w:rsidRDefault="00000000">
            <w:pPr>
              <w:rPr>
                <w:sz w:val="21"/>
                <w:szCs w:val="21"/>
              </w:rPr>
            </w:pPr>
            <w:r>
              <w:rPr>
                <w:sz w:val="21"/>
                <w:szCs w:val="21"/>
              </w:rPr>
              <w:t xml:space="preserve">Oct. 18-Deadline that </w:t>
            </w:r>
            <w:proofErr w:type="gramStart"/>
            <w:r>
              <w:rPr>
                <w:sz w:val="21"/>
                <w:szCs w:val="21"/>
              </w:rPr>
              <w:t>the  Commission</w:t>
            </w:r>
            <w:proofErr w:type="gramEnd"/>
            <w:r>
              <w:rPr>
                <w:sz w:val="21"/>
                <w:szCs w:val="21"/>
              </w:rPr>
              <w:t xml:space="preserve"> will accept public comments regarding proposed rules</w:t>
            </w:r>
          </w:p>
          <w:p w14:paraId="0606BAD5" w14:textId="77777777" w:rsidR="0018384C" w:rsidRDefault="0018384C">
            <w:pPr>
              <w:rPr>
                <w:sz w:val="21"/>
                <w:szCs w:val="21"/>
                <w:highlight w:val="green"/>
              </w:rPr>
            </w:pPr>
          </w:p>
          <w:p w14:paraId="4B3A2278" w14:textId="77777777" w:rsidR="0018384C" w:rsidRDefault="0018384C">
            <w:pPr>
              <w:rPr>
                <w:sz w:val="21"/>
                <w:szCs w:val="21"/>
                <w:highlight w:val="green"/>
              </w:rPr>
            </w:pPr>
          </w:p>
          <w:p w14:paraId="10492C10" w14:textId="77777777" w:rsidR="0018384C" w:rsidRDefault="0018384C">
            <w:pPr>
              <w:rPr>
                <w:sz w:val="21"/>
                <w:szCs w:val="21"/>
                <w:highlight w:val="green"/>
              </w:rPr>
            </w:pPr>
          </w:p>
          <w:p w14:paraId="622C2CD0" w14:textId="77777777" w:rsidR="0018384C" w:rsidRDefault="0018384C">
            <w:pPr>
              <w:rPr>
                <w:sz w:val="21"/>
                <w:szCs w:val="21"/>
                <w:highlight w:val="green"/>
              </w:rPr>
            </w:pPr>
          </w:p>
        </w:tc>
        <w:tc>
          <w:tcPr>
            <w:tcW w:w="5025" w:type="dxa"/>
            <w:shd w:val="clear" w:color="auto" w:fill="F2F2F2"/>
          </w:tcPr>
          <w:p w14:paraId="53C020F2" w14:textId="77777777" w:rsidR="0018384C" w:rsidRDefault="00000000">
            <w:pPr>
              <w:rPr>
                <w:sz w:val="21"/>
                <w:szCs w:val="21"/>
              </w:rPr>
            </w:pPr>
            <w:r>
              <w:rPr>
                <w:sz w:val="21"/>
                <w:szCs w:val="21"/>
              </w:rPr>
              <w:t>iDEA is monitoring the proposed rulemaking and will continue to update membership.</w:t>
            </w:r>
          </w:p>
        </w:tc>
      </w:tr>
    </w:tbl>
    <w:p w14:paraId="4143D5B7" w14:textId="77777777" w:rsidR="0018384C" w:rsidRDefault="0018384C">
      <w:pPr>
        <w:rPr>
          <w:b/>
          <w:color w:val="538135"/>
          <w:sz w:val="36"/>
          <w:szCs w:val="36"/>
        </w:rPr>
      </w:pPr>
    </w:p>
    <w:p w14:paraId="626A9FFA" w14:textId="77777777" w:rsidR="0018384C" w:rsidRDefault="0018384C">
      <w:pPr>
        <w:rPr>
          <w:b/>
          <w:color w:val="538135"/>
          <w:sz w:val="36"/>
          <w:szCs w:val="36"/>
        </w:rPr>
      </w:pPr>
    </w:p>
    <w:p w14:paraId="2F881323" w14:textId="77777777" w:rsidR="0018384C" w:rsidRDefault="0018384C">
      <w:pPr>
        <w:rPr>
          <w:b/>
          <w:color w:val="538135"/>
          <w:sz w:val="36"/>
          <w:szCs w:val="36"/>
        </w:rPr>
      </w:pPr>
    </w:p>
    <w:p w14:paraId="1252ECFA" w14:textId="77777777" w:rsidR="0018384C" w:rsidRDefault="0018384C">
      <w:pPr>
        <w:rPr>
          <w:b/>
          <w:color w:val="538135"/>
          <w:sz w:val="36"/>
          <w:szCs w:val="36"/>
        </w:rPr>
      </w:pPr>
    </w:p>
    <w:p w14:paraId="1259DC55" w14:textId="77777777" w:rsidR="0018384C" w:rsidRDefault="0018384C">
      <w:pPr>
        <w:rPr>
          <w:b/>
          <w:color w:val="538135"/>
          <w:sz w:val="36"/>
          <w:szCs w:val="36"/>
        </w:rPr>
      </w:pPr>
    </w:p>
    <w:p w14:paraId="1C66747C" w14:textId="77777777" w:rsidR="0018384C" w:rsidRDefault="0018384C">
      <w:pPr>
        <w:rPr>
          <w:b/>
          <w:color w:val="538135"/>
          <w:sz w:val="36"/>
          <w:szCs w:val="36"/>
        </w:rPr>
      </w:pPr>
    </w:p>
    <w:p w14:paraId="218F7717" w14:textId="77777777" w:rsidR="0018384C" w:rsidRDefault="0018384C">
      <w:pPr>
        <w:rPr>
          <w:b/>
          <w:color w:val="538135"/>
          <w:sz w:val="36"/>
          <w:szCs w:val="36"/>
        </w:rPr>
      </w:pPr>
    </w:p>
    <w:p w14:paraId="17D8701F" w14:textId="77777777" w:rsidR="0018384C" w:rsidRDefault="0018384C">
      <w:pPr>
        <w:rPr>
          <w:b/>
          <w:color w:val="538135"/>
          <w:sz w:val="36"/>
          <w:szCs w:val="36"/>
        </w:rPr>
      </w:pPr>
    </w:p>
    <w:p w14:paraId="655202AB" w14:textId="77777777" w:rsidR="0018384C" w:rsidRDefault="0018384C">
      <w:pPr>
        <w:rPr>
          <w:b/>
          <w:color w:val="538135"/>
          <w:sz w:val="36"/>
          <w:szCs w:val="36"/>
        </w:rPr>
      </w:pPr>
    </w:p>
    <w:p w14:paraId="163D36CF" w14:textId="77777777" w:rsidR="0018384C" w:rsidRDefault="0018384C">
      <w:pPr>
        <w:rPr>
          <w:b/>
          <w:color w:val="538135"/>
          <w:sz w:val="36"/>
          <w:szCs w:val="36"/>
        </w:rPr>
      </w:pPr>
    </w:p>
    <w:p w14:paraId="456C7120" w14:textId="77777777" w:rsidR="0018384C" w:rsidRDefault="00000000">
      <w:pPr>
        <w:rPr>
          <w:b/>
          <w:color w:val="538135"/>
          <w:sz w:val="36"/>
          <w:szCs w:val="36"/>
        </w:rPr>
      </w:pPr>
      <w:r>
        <w:rPr>
          <w:b/>
          <w:color w:val="538135"/>
          <w:sz w:val="36"/>
          <w:szCs w:val="36"/>
        </w:rPr>
        <w:lastRenderedPageBreak/>
        <w:t>Priority States: Legislative iGaming 2024</w:t>
      </w:r>
    </w:p>
    <w:tbl>
      <w:tblPr>
        <w:tblStyle w:val="a0"/>
        <w:tblpPr w:leftFromText="180" w:rightFromText="180" w:vertAnchor="page" w:horzAnchor="margin" w:tblpX="-380" w:tblpY="2749"/>
        <w:tblW w:w="14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400"/>
        <w:gridCol w:w="2430"/>
        <w:gridCol w:w="4770"/>
      </w:tblGrid>
      <w:tr w:rsidR="0018384C" w14:paraId="368D3523" w14:textId="77777777">
        <w:trPr>
          <w:trHeight w:val="620"/>
        </w:trPr>
        <w:tc>
          <w:tcPr>
            <w:tcW w:w="2155" w:type="dxa"/>
            <w:shd w:val="clear" w:color="auto" w:fill="2E75B5"/>
          </w:tcPr>
          <w:p w14:paraId="6C3CAEDD" w14:textId="77777777" w:rsidR="0018384C" w:rsidRDefault="00000000">
            <w:pPr>
              <w:jc w:val="center"/>
              <w:rPr>
                <w:b/>
                <w:color w:val="FFFFFF"/>
                <w:sz w:val="28"/>
                <w:szCs w:val="28"/>
              </w:rPr>
            </w:pPr>
            <w:r>
              <w:rPr>
                <w:b/>
                <w:color w:val="FFFFFF"/>
                <w:sz w:val="28"/>
                <w:szCs w:val="28"/>
              </w:rPr>
              <w:t>State</w:t>
            </w:r>
          </w:p>
        </w:tc>
        <w:tc>
          <w:tcPr>
            <w:tcW w:w="5400" w:type="dxa"/>
            <w:shd w:val="clear" w:color="auto" w:fill="2E75B5"/>
          </w:tcPr>
          <w:p w14:paraId="6F0D571B" w14:textId="77777777" w:rsidR="0018384C" w:rsidRDefault="0018384C">
            <w:pPr>
              <w:jc w:val="center"/>
              <w:rPr>
                <w:b/>
                <w:color w:val="FFFFFF"/>
                <w:sz w:val="8"/>
                <w:szCs w:val="8"/>
              </w:rPr>
            </w:pPr>
          </w:p>
          <w:p w14:paraId="6DD3ACB4" w14:textId="77777777" w:rsidR="0018384C" w:rsidRDefault="00000000">
            <w:pPr>
              <w:jc w:val="center"/>
              <w:rPr>
                <w:b/>
                <w:color w:val="FFFFFF"/>
                <w:sz w:val="28"/>
                <w:szCs w:val="28"/>
              </w:rPr>
            </w:pPr>
            <w:r>
              <w:rPr>
                <w:b/>
                <w:color w:val="FFFFFF"/>
                <w:sz w:val="28"/>
                <w:szCs w:val="28"/>
              </w:rPr>
              <w:t>Current Status</w:t>
            </w:r>
          </w:p>
        </w:tc>
        <w:tc>
          <w:tcPr>
            <w:tcW w:w="2430" w:type="dxa"/>
            <w:shd w:val="clear" w:color="auto" w:fill="2E75B5"/>
          </w:tcPr>
          <w:p w14:paraId="6C956601" w14:textId="77777777" w:rsidR="0018384C" w:rsidRDefault="0018384C">
            <w:pPr>
              <w:jc w:val="center"/>
              <w:rPr>
                <w:b/>
                <w:color w:val="FFFFFF"/>
                <w:sz w:val="8"/>
                <w:szCs w:val="8"/>
              </w:rPr>
            </w:pPr>
          </w:p>
          <w:p w14:paraId="3A7734DE" w14:textId="77777777" w:rsidR="0018384C" w:rsidRDefault="00000000">
            <w:pPr>
              <w:jc w:val="center"/>
              <w:rPr>
                <w:b/>
                <w:color w:val="FFFFFF"/>
                <w:sz w:val="28"/>
                <w:szCs w:val="28"/>
              </w:rPr>
            </w:pPr>
            <w:r>
              <w:rPr>
                <w:b/>
                <w:color w:val="FFFFFF"/>
                <w:sz w:val="28"/>
                <w:szCs w:val="28"/>
              </w:rPr>
              <w:t>Key Dates</w:t>
            </w:r>
          </w:p>
        </w:tc>
        <w:tc>
          <w:tcPr>
            <w:tcW w:w="4770" w:type="dxa"/>
            <w:shd w:val="clear" w:color="auto" w:fill="2E75B5"/>
          </w:tcPr>
          <w:p w14:paraId="0A33EFE9" w14:textId="77777777" w:rsidR="0018384C" w:rsidRDefault="0018384C">
            <w:pPr>
              <w:jc w:val="center"/>
              <w:rPr>
                <w:b/>
                <w:color w:val="FFFFFF"/>
                <w:sz w:val="8"/>
                <w:szCs w:val="8"/>
              </w:rPr>
            </w:pPr>
          </w:p>
          <w:p w14:paraId="05876729" w14:textId="77777777" w:rsidR="0018384C" w:rsidRDefault="00000000">
            <w:pPr>
              <w:jc w:val="center"/>
              <w:rPr>
                <w:b/>
                <w:color w:val="FFFFFF"/>
                <w:sz w:val="28"/>
                <w:szCs w:val="28"/>
              </w:rPr>
            </w:pPr>
            <w:r>
              <w:rPr>
                <w:b/>
                <w:color w:val="FFFFFF"/>
                <w:sz w:val="28"/>
                <w:szCs w:val="28"/>
              </w:rPr>
              <w:t>iDEA Engagement / Opportunities</w:t>
            </w:r>
          </w:p>
        </w:tc>
      </w:tr>
      <w:tr w:rsidR="0018384C" w14:paraId="30385889" w14:textId="77777777">
        <w:trPr>
          <w:trHeight w:val="1025"/>
        </w:trPr>
        <w:tc>
          <w:tcPr>
            <w:tcW w:w="2155" w:type="dxa"/>
            <w:shd w:val="clear" w:color="auto" w:fill="F2F2F2"/>
          </w:tcPr>
          <w:p w14:paraId="623C3DC1" w14:textId="77777777" w:rsidR="0018384C" w:rsidRDefault="00000000">
            <w:pPr>
              <w:rPr>
                <w:b/>
                <w:color w:val="262626"/>
                <w:sz w:val="24"/>
                <w:szCs w:val="24"/>
              </w:rPr>
            </w:pPr>
            <w:r>
              <w:rPr>
                <w:b/>
                <w:color w:val="262626"/>
                <w:sz w:val="24"/>
                <w:szCs w:val="24"/>
              </w:rPr>
              <w:t>Alberta, Canada</w:t>
            </w:r>
          </w:p>
        </w:tc>
        <w:tc>
          <w:tcPr>
            <w:tcW w:w="5400" w:type="dxa"/>
            <w:shd w:val="clear" w:color="auto" w:fill="F2F2F2"/>
          </w:tcPr>
          <w:p w14:paraId="3C19FE3D" w14:textId="77777777" w:rsidR="0018384C" w:rsidRDefault="00000000">
            <w:pPr>
              <w:rPr>
                <w:sz w:val="21"/>
                <w:szCs w:val="21"/>
                <w:highlight w:val="green"/>
              </w:rPr>
            </w:pPr>
            <w:r>
              <w:rPr>
                <w:sz w:val="21"/>
                <w:szCs w:val="21"/>
                <w:highlight w:val="green"/>
              </w:rPr>
              <w:t xml:space="preserve">The Service Alberta Minister, who has oversight over the expansion of online gaming in the province, held a special roundtable discussion at G2E. During the discussion he confirmed that his agency will continue to have consultation with stakeholders to determine the structure of the </w:t>
            </w:r>
            <w:proofErr w:type="gramStart"/>
            <w:r>
              <w:rPr>
                <w:sz w:val="21"/>
                <w:szCs w:val="21"/>
                <w:highlight w:val="green"/>
              </w:rPr>
              <w:t>Province’s</w:t>
            </w:r>
            <w:proofErr w:type="gramEnd"/>
            <w:r>
              <w:rPr>
                <w:sz w:val="21"/>
                <w:szCs w:val="21"/>
                <w:highlight w:val="green"/>
              </w:rPr>
              <w:t xml:space="preserve"> competitive model. He indicated his desire to have the market launch by Fall of 2025.</w:t>
            </w:r>
          </w:p>
          <w:p w14:paraId="4C3B3DEE" w14:textId="77777777" w:rsidR="0018384C" w:rsidRDefault="0018384C">
            <w:pPr>
              <w:rPr>
                <w:sz w:val="21"/>
                <w:szCs w:val="21"/>
                <w:highlight w:val="green"/>
              </w:rPr>
            </w:pPr>
          </w:p>
          <w:p w14:paraId="17C3B026" w14:textId="77777777" w:rsidR="0018384C" w:rsidRDefault="00000000">
            <w:pPr>
              <w:rPr>
                <w:sz w:val="21"/>
                <w:szCs w:val="21"/>
                <w:highlight w:val="green"/>
              </w:rPr>
            </w:pPr>
            <w:r>
              <w:rPr>
                <w:sz w:val="21"/>
                <w:szCs w:val="21"/>
                <w:highlight w:val="green"/>
              </w:rPr>
              <w:t xml:space="preserve">Outside of his panel discussion, several observers we spoke with questioned the Minister’s handling of this issue over the past year and whether he would remain in office long enough to see it through. </w:t>
            </w:r>
          </w:p>
          <w:p w14:paraId="49496FBB" w14:textId="77777777" w:rsidR="0018384C" w:rsidRDefault="0018384C">
            <w:pPr>
              <w:rPr>
                <w:sz w:val="21"/>
                <w:szCs w:val="21"/>
              </w:rPr>
            </w:pPr>
          </w:p>
        </w:tc>
        <w:tc>
          <w:tcPr>
            <w:tcW w:w="2430" w:type="dxa"/>
            <w:shd w:val="clear" w:color="auto" w:fill="F2F2F2"/>
          </w:tcPr>
          <w:p w14:paraId="21502F2E" w14:textId="77777777" w:rsidR="0018384C" w:rsidRDefault="00000000">
            <w:pPr>
              <w:rPr>
                <w:sz w:val="21"/>
                <w:szCs w:val="21"/>
                <w:highlight w:val="green"/>
              </w:rPr>
            </w:pPr>
            <w:r>
              <w:rPr>
                <w:sz w:val="21"/>
                <w:szCs w:val="21"/>
                <w:highlight w:val="green"/>
              </w:rPr>
              <w:t xml:space="preserve">Fall 2025 – Dated for possible launch as indicated by Minister Dale Nally during G2E.  </w:t>
            </w:r>
          </w:p>
          <w:p w14:paraId="1C2EADD0" w14:textId="77777777" w:rsidR="0018384C" w:rsidRDefault="0018384C">
            <w:pPr>
              <w:rPr>
                <w:sz w:val="21"/>
                <w:szCs w:val="21"/>
                <w:highlight w:val="green"/>
              </w:rPr>
            </w:pPr>
          </w:p>
          <w:p w14:paraId="45CEBD95" w14:textId="77777777" w:rsidR="0018384C" w:rsidRDefault="0018384C">
            <w:pPr>
              <w:rPr>
                <w:sz w:val="21"/>
                <w:szCs w:val="21"/>
                <w:highlight w:val="green"/>
              </w:rPr>
            </w:pPr>
          </w:p>
        </w:tc>
        <w:tc>
          <w:tcPr>
            <w:tcW w:w="4770" w:type="dxa"/>
            <w:shd w:val="clear" w:color="auto" w:fill="F2F2F2"/>
          </w:tcPr>
          <w:p w14:paraId="274BDFBD" w14:textId="77777777" w:rsidR="0018384C" w:rsidRDefault="00000000">
            <w:pPr>
              <w:rPr>
                <w:sz w:val="21"/>
                <w:szCs w:val="21"/>
                <w:highlight w:val="green"/>
              </w:rPr>
            </w:pPr>
            <w:r>
              <w:rPr>
                <w:sz w:val="21"/>
                <w:szCs w:val="21"/>
                <w:highlight w:val="green"/>
              </w:rPr>
              <w:t xml:space="preserve">IDEA will continue to engage with local stakeholders to help influence the Alberta market structure. </w:t>
            </w:r>
          </w:p>
          <w:p w14:paraId="24D30AA3" w14:textId="77777777" w:rsidR="0018384C" w:rsidRDefault="0018384C">
            <w:pPr>
              <w:rPr>
                <w:sz w:val="21"/>
                <w:szCs w:val="21"/>
                <w:highlight w:val="green"/>
              </w:rPr>
            </w:pPr>
          </w:p>
          <w:p w14:paraId="4F4BD2CD" w14:textId="77777777" w:rsidR="0018384C" w:rsidRDefault="00000000">
            <w:pPr>
              <w:rPr>
                <w:sz w:val="21"/>
                <w:szCs w:val="21"/>
                <w:highlight w:val="green"/>
              </w:rPr>
            </w:pPr>
            <w:r>
              <w:rPr>
                <w:sz w:val="21"/>
                <w:szCs w:val="21"/>
                <w:highlight w:val="green"/>
              </w:rPr>
              <w:t xml:space="preserve">We are seeking feedback from members on ways that we can collaboratively engage to advocate for a path forward. </w:t>
            </w:r>
          </w:p>
          <w:p w14:paraId="2AE2D62B" w14:textId="77777777" w:rsidR="0018384C" w:rsidRDefault="0018384C">
            <w:pPr>
              <w:rPr>
                <w:sz w:val="21"/>
                <w:szCs w:val="21"/>
                <w:highlight w:val="green"/>
              </w:rPr>
            </w:pPr>
          </w:p>
          <w:p w14:paraId="5B3F0556" w14:textId="77777777" w:rsidR="0018384C" w:rsidRDefault="0018384C">
            <w:pPr>
              <w:rPr>
                <w:sz w:val="21"/>
                <w:szCs w:val="21"/>
                <w:highlight w:val="green"/>
              </w:rPr>
            </w:pPr>
          </w:p>
          <w:p w14:paraId="1BBCACA8" w14:textId="77777777" w:rsidR="0018384C" w:rsidRDefault="0018384C">
            <w:pPr>
              <w:rPr>
                <w:sz w:val="21"/>
                <w:szCs w:val="21"/>
                <w:highlight w:val="green"/>
              </w:rPr>
            </w:pPr>
          </w:p>
        </w:tc>
      </w:tr>
      <w:tr w:rsidR="0018384C" w14:paraId="7B6422A1" w14:textId="77777777">
        <w:trPr>
          <w:trHeight w:val="1025"/>
        </w:trPr>
        <w:tc>
          <w:tcPr>
            <w:tcW w:w="2155" w:type="dxa"/>
            <w:shd w:val="clear" w:color="auto" w:fill="F2F2F2"/>
          </w:tcPr>
          <w:p w14:paraId="7CA95FC0" w14:textId="77777777" w:rsidR="0018384C" w:rsidRDefault="00000000">
            <w:pPr>
              <w:rPr>
                <w:b/>
                <w:color w:val="262626"/>
                <w:sz w:val="24"/>
                <w:szCs w:val="24"/>
                <w:highlight w:val="green"/>
              </w:rPr>
            </w:pPr>
            <w:r>
              <w:rPr>
                <w:b/>
                <w:color w:val="262626"/>
                <w:sz w:val="24"/>
                <w:szCs w:val="24"/>
              </w:rPr>
              <w:t>LOUISIANA</w:t>
            </w:r>
            <w:r>
              <w:rPr>
                <w:b/>
                <w:color w:val="262626"/>
                <w:sz w:val="24"/>
                <w:szCs w:val="24"/>
                <w:highlight w:val="green"/>
              </w:rPr>
              <w:t xml:space="preserve"> </w:t>
            </w:r>
          </w:p>
        </w:tc>
        <w:tc>
          <w:tcPr>
            <w:tcW w:w="5400" w:type="dxa"/>
            <w:shd w:val="clear" w:color="auto" w:fill="F2F2F2"/>
          </w:tcPr>
          <w:p w14:paraId="08CB3CBE" w14:textId="77777777" w:rsidR="0018384C" w:rsidRDefault="00000000">
            <w:pPr>
              <w:spacing w:before="240" w:after="240"/>
              <w:rPr>
                <w:sz w:val="21"/>
                <w:szCs w:val="21"/>
                <w:highlight w:val="green"/>
              </w:rPr>
            </w:pPr>
            <w:proofErr w:type="gramStart"/>
            <w:r>
              <w:rPr>
                <w:sz w:val="21"/>
                <w:szCs w:val="21"/>
                <w:highlight w:val="green"/>
              </w:rPr>
              <w:t>Due to the fact that</w:t>
            </w:r>
            <w:proofErr w:type="gramEnd"/>
            <w:r>
              <w:rPr>
                <w:sz w:val="21"/>
                <w:szCs w:val="21"/>
                <w:highlight w:val="green"/>
              </w:rPr>
              <w:t xml:space="preserve"> the Governor is planning on calling the Legislature into a special session, the schedule is very fluid for when the </w:t>
            </w:r>
            <w:proofErr w:type="spellStart"/>
            <w:r>
              <w:rPr>
                <w:sz w:val="21"/>
                <w:szCs w:val="21"/>
                <w:highlight w:val="green"/>
              </w:rPr>
              <w:t>i</w:t>
            </w:r>
            <w:proofErr w:type="spellEnd"/>
            <w:r>
              <w:rPr>
                <w:sz w:val="21"/>
                <w:szCs w:val="21"/>
                <w:highlight w:val="green"/>
              </w:rPr>
              <w:t>-Gaming Study Committee will meet. It might not potentially meet now until late November.</w:t>
            </w:r>
          </w:p>
          <w:p w14:paraId="77E5FF64" w14:textId="77777777" w:rsidR="0018384C" w:rsidRDefault="00000000">
            <w:pPr>
              <w:spacing w:before="240" w:after="240"/>
              <w:rPr>
                <w:sz w:val="21"/>
                <w:szCs w:val="21"/>
              </w:rPr>
            </w:pPr>
            <w:r>
              <w:rPr>
                <w:sz w:val="21"/>
                <w:szCs w:val="21"/>
              </w:rPr>
              <w:t xml:space="preserve">iDEA met with staff for the Louisiana Senate Committee that will be conducting the </w:t>
            </w:r>
            <w:proofErr w:type="spellStart"/>
            <w:r>
              <w:rPr>
                <w:sz w:val="21"/>
                <w:szCs w:val="21"/>
              </w:rPr>
              <w:t>i</w:t>
            </w:r>
            <w:proofErr w:type="spellEnd"/>
            <w:r>
              <w:rPr>
                <w:sz w:val="21"/>
                <w:szCs w:val="21"/>
              </w:rPr>
              <w:t>-Gaming Study Committee. The key takeaways are:</w:t>
            </w:r>
          </w:p>
          <w:p w14:paraId="4D838C46" w14:textId="77777777" w:rsidR="0018384C" w:rsidRDefault="00000000">
            <w:pPr>
              <w:spacing w:before="240" w:after="240"/>
              <w:rPr>
                <w:sz w:val="21"/>
                <w:szCs w:val="21"/>
              </w:rPr>
            </w:pPr>
            <w:r>
              <w:rPr>
                <w:sz w:val="21"/>
                <w:szCs w:val="21"/>
              </w:rPr>
              <w:t>*The committee likely won’t start to meet until after G2E.</w:t>
            </w:r>
          </w:p>
          <w:p w14:paraId="4AA93777" w14:textId="77777777" w:rsidR="0018384C" w:rsidRDefault="00000000">
            <w:pPr>
              <w:spacing w:before="240" w:after="240"/>
              <w:rPr>
                <w:sz w:val="21"/>
                <w:szCs w:val="21"/>
              </w:rPr>
            </w:pPr>
            <w:r>
              <w:rPr>
                <w:sz w:val="21"/>
                <w:szCs w:val="21"/>
              </w:rPr>
              <w:t xml:space="preserve">*The plan is to have only 2-3 meetings with the goal to conclude meetings this calendar year. </w:t>
            </w:r>
          </w:p>
          <w:p w14:paraId="58C1A87F" w14:textId="77777777" w:rsidR="0018384C" w:rsidRDefault="00000000">
            <w:pPr>
              <w:spacing w:before="240" w:after="240"/>
              <w:rPr>
                <w:sz w:val="21"/>
                <w:szCs w:val="21"/>
              </w:rPr>
            </w:pPr>
            <w:r>
              <w:rPr>
                <w:sz w:val="21"/>
                <w:szCs w:val="21"/>
              </w:rPr>
              <w:t xml:space="preserve">*iDEA has been invited to testify. We were encouraged to work with our members to make sure that the testimony given by each individual entity provides a different </w:t>
            </w:r>
            <w:r>
              <w:rPr>
                <w:sz w:val="21"/>
                <w:szCs w:val="21"/>
              </w:rPr>
              <w:lastRenderedPageBreak/>
              <w:t xml:space="preserve">perspective and isn't redundant/duplicative for the committee members. </w:t>
            </w:r>
          </w:p>
          <w:p w14:paraId="1869E8EE" w14:textId="77777777" w:rsidR="0018384C" w:rsidRDefault="00000000">
            <w:pPr>
              <w:spacing w:before="240" w:after="240"/>
              <w:rPr>
                <w:sz w:val="21"/>
                <w:szCs w:val="21"/>
              </w:rPr>
            </w:pPr>
            <w:r>
              <w:rPr>
                <w:sz w:val="21"/>
                <w:szCs w:val="21"/>
              </w:rPr>
              <w:t>*At this point, it is unlikely that the study committee will provide a recommendation. Rather, the committee is looking at providing a report with detailed information gained during the meetings.</w:t>
            </w:r>
          </w:p>
        </w:tc>
        <w:tc>
          <w:tcPr>
            <w:tcW w:w="2430" w:type="dxa"/>
            <w:shd w:val="clear" w:color="auto" w:fill="F2F2F2"/>
          </w:tcPr>
          <w:p w14:paraId="3219AF4E" w14:textId="77777777" w:rsidR="0018384C" w:rsidRDefault="00000000">
            <w:pPr>
              <w:spacing w:before="240" w:after="240"/>
              <w:rPr>
                <w:sz w:val="21"/>
                <w:szCs w:val="21"/>
                <w:highlight w:val="green"/>
              </w:rPr>
            </w:pPr>
            <w:r>
              <w:rPr>
                <w:sz w:val="21"/>
                <w:szCs w:val="21"/>
                <w:highlight w:val="green"/>
              </w:rPr>
              <w:lastRenderedPageBreak/>
              <w:t>Study Committee Meeting Schedule is TBD due to the Legislative special session</w:t>
            </w:r>
          </w:p>
          <w:p w14:paraId="1E6709B2" w14:textId="77777777" w:rsidR="0018384C" w:rsidRDefault="0018384C">
            <w:pPr>
              <w:rPr>
                <w:sz w:val="21"/>
                <w:szCs w:val="21"/>
              </w:rPr>
            </w:pPr>
          </w:p>
        </w:tc>
        <w:tc>
          <w:tcPr>
            <w:tcW w:w="4770" w:type="dxa"/>
            <w:shd w:val="clear" w:color="auto" w:fill="F2F2F2"/>
          </w:tcPr>
          <w:p w14:paraId="71EBBAA4" w14:textId="77777777" w:rsidR="0018384C" w:rsidRDefault="00000000">
            <w:pPr>
              <w:rPr>
                <w:sz w:val="21"/>
                <w:szCs w:val="21"/>
              </w:rPr>
            </w:pPr>
            <w:r>
              <w:rPr>
                <w:sz w:val="21"/>
                <w:szCs w:val="21"/>
              </w:rPr>
              <w:t xml:space="preserve">iDEA is connecting with committee staff to see how iDEA can participate in the committee meetings, with the goal of providing expert testimony and information for the Committee to consider. </w:t>
            </w:r>
          </w:p>
        </w:tc>
      </w:tr>
      <w:tr w:rsidR="0018384C" w14:paraId="3E16EC08" w14:textId="77777777">
        <w:trPr>
          <w:trHeight w:val="1025"/>
        </w:trPr>
        <w:tc>
          <w:tcPr>
            <w:tcW w:w="2155" w:type="dxa"/>
            <w:shd w:val="clear" w:color="auto" w:fill="F2F2F2"/>
          </w:tcPr>
          <w:p w14:paraId="4B9180D6" w14:textId="77777777" w:rsidR="0018384C" w:rsidRDefault="00000000">
            <w:pPr>
              <w:rPr>
                <w:b/>
                <w:color w:val="262626"/>
                <w:sz w:val="24"/>
                <w:szCs w:val="24"/>
              </w:rPr>
            </w:pPr>
            <w:r>
              <w:rPr>
                <w:b/>
                <w:color w:val="262626"/>
                <w:sz w:val="24"/>
                <w:szCs w:val="24"/>
              </w:rPr>
              <w:t>MARYLAND</w:t>
            </w:r>
          </w:p>
          <w:p w14:paraId="28085F72" w14:textId="77777777" w:rsidR="0018384C" w:rsidRDefault="0018384C">
            <w:pPr>
              <w:rPr>
                <w:i/>
                <w:color w:val="262626"/>
                <w:sz w:val="24"/>
                <w:szCs w:val="24"/>
                <w:highlight w:val="green"/>
              </w:rPr>
            </w:pPr>
          </w:p>
        </w:tc>
        <w:tc>
          <w:tcPr>
            <w:tcW w:w="5400" w:type="dxa"/>
            <w:shd w:val="clear" w:color="auto" w:fill="F2F2F2"/>
          </w:tcPr>
          <w:p w14:paraId="644259C0" w14:textId="77777777" w:rsidR="0018384C" w:rsidRDefault="00000000">
            <w:pPr>
              <w:rPr>
                <w:sz w:val="21"/>
                <w:szCs w:val="21"/>
              </w:rPr>
            </w:pPr>
            <w:r>
              <w:rPr>
                <w:sz w:val="21"/>
                <w:szCs w:val="21"/>
              </w:rPr>
              <w:t>iDEA is working with local lobbyists and other stakeholders to build support for iGaming going into the 2025 session.</w:t>
            </w:r>
          </w:p>
          <w:p w14:paraId="607A0393" w14:textId="77777777" w:rsidR="0018384C" w:rsidRDefault="0018384C">
            <w:pPr>
              <w:rPr>
                <w:sz w:val="21"/>
                <w:szCs w:val="21"/>
              </w:rPr>
            </w:pPr>
          </w:p>
          <w:p w14:paraId="43E7FCAA" w14:textId="77777777" w:rsidR="0018384C" w:rsidRDefault="00000000">
            <w:pPr>
              <w:rPr>
                <w:sz w:val="21"/>
                <w:szCs w:val="21"/>
              </w:rPr>
            </w:pPr>
            <w:r>
              <w:rPr>
                <w:sz w:val="21"/>
                <w:szCs w:val="21"/>
              </w:rPr>
              <w:t xml:space="preserve">On 06/17 we sponsored an event for MD Gov. Wes Moore. At the event we were able to speak directly with the Governor about the opportunity for iGaming to deliver significant tax revenue to the state. </w:t>
            </w:r>
          </w:p>
          <w:p w14:paraId="35D4CC91" w14:textId="77777777" w:rsidR="0018384C" w:rsidRDefault="0018384C">
            <w:pPr>
              <w:rPr>
                <w:sz w:val="21"/>
                <w:szCs w:val="21"/>
              </w:rPr>
            </w:pPr>
          </w:p>
          <w:p w14:paraId="3FB8A31A" w14:textId="77777777" w:rsidR="0018384C" w:rsidRDefault="00000000">
            <w:pPr>
              <w:rPr>
                <w:sz w:val="21"/>
                <w:szCs w:val="21"/>
              </w:rPr>
            </w:pPr>
            <w:r>
              <w:rPr>
                <w:sz w:val="21"/>
                <w:szCs w:val="21"/>
              </w:rPr>
              <w:t xml:space="preserve">The state’s fiscal situation will require the legislature to find new revenue streams in 2025. To date, the Senate has resisted turning to expanded gambling and getting support from Senate Majority Leader Ferguson remains a high priority. </w:t>
            </w:r>
          </w:p>
          <w:p w14:paraId="295600C7" w14:textId="77777777" w:rsidR="0018384C" w:rsidRDefault="0018384C">
            <w:pPr>
              <w:rPr>
                <w:sz w:val="21"/>
                <w:szCs w:val="21"/>
                <w:highlight w:val="green"/>
              </w:rPr>
            </w:pPr>
          </w:p>
        </w:tc>
        <w:tc>
          <w:tcPr>
            <w:tcW w:w="2430" w:type="dxa"/>
            <w:shd w:val="clear" w:color="auto" w:fill="F2F2F2"/>
          </w:tcPr>
          <w:p w14:paraId="63688E15" w14:textId="77777777" w:rsidR="0018384C" w:rsidRDefault="00000000">
            <w:pPr>
              <w:rPr>
                <w:sz w:val="21"/>
                <w:szCs w:val="21"/>
              </w:rPr>
            </w:pPr>
            <w:r>
              <w:rPr>
                <w:sz w:val="21"/>
                <w:szCs w:val="21"/>
              </w:rPr>
              <w:t>August – MD Legislature Conference (Ocean City, MD)</w:t>
            </w:r>
          </w:p>
        </w:tc>
        <w:tc>
          <w:tcPr>
            <w:tcW w:w="4770" w:type="dxa"/>
            <w:shd w:val="clear" w:color="auto" w:fill="F2F2F2"/>
          </w:tcPr>
          <w:p w14:paraId="3D1FB9E2" w14:textId="77777777" w:rsidR="0018384C" w:rsidRDefault="00000000">
            <w:pPr>
              <w:rPr>
                <w:sz w:val="21"/>
                <w:szCs w:val="21"/>
              </w:rPr>
            </w:pPr>
            <w:r>
              <w:rPr>
                <w:sz w:val="21"/>
                <w:szCs w:val="21"/>
              </w:rPr>
              <w:t xml:space="preserve">iDEA attended several events at the annual </w:t>
            </w:r>
            <w:hyperlink r:id="rId18">
              <w:r>
                <w:rPr>
                  <w:color w:val="1155CC"/>
                  <w:sz w:val="21"/>
                  <w:szCs w:val="21"/>
                  <w:u w:val="single"/>
                </w:rPr>
                <w:t>MaCo Conference</w:t>
              </w:r>
            </w:hyperlink>
            <w:r>
              <w:rPr>
                <w:sz w:val="21"/>
                <w:szCs w:val="21"/>
              </w:rPr>
              <w:t xml:space="preserve">  on Aug 15. </w:t>
            </w:r>
          </w:p>
          <w:p w14:paraId="052AEF6B" w14:textId="77777777" w:rsidR="0018384C" w:rsidRDefault="0018384C">
            <w:pPr>
              <w:rPr>
                <w:sz w:val="21"/>
                <w:szCs w:val="21"/>
              </w:rPr>
            </w:pPr>
          </w:p>
          <w:p w14:paraId="5B2F86F4" w14:textId="77777777" w:rsidR="0018384C" w:rsidRDefault="00000000">
            <w:pPr>
              <w:rPr>
                <w:sz w:val="21"/>
                <w:szCs w:val="21"/>
              </w:rPr>
            </w:pPr>
            <w:r>
              <w:rPr>
                <w:sz w:val="21"/>
                <w:szCs w:val="21"/>
              </w:rPr>
              <w:t xml:space="preserve">During the conference we were able to speak with the Speaker of the House, Chairwoman </w:t>
            </w:r>
            <w:proofErr w:type="spellStart"/>
            <w:r>
              <w:rPr>
                <w:sz w:val="21"/>
                <w:szCs w:val="21"/>
              </w:rPr>
              <w:t>Atterbeary</w:t>
            </w:r>
            <w:proofErr w:type="spellEnd"/>
            <w:r>
              <w:rPr>
                <w:sz w:val="21"/>
                <w:szCs w:val="21"/>
              </w:rPr>
              <w:t xml:space="preserve"> (iGaming bill sponsor last session) and the Senate President and his staff. The Senate President was an obstacle to advancing the bill last year (which passed the house and died in the Senate). His staff has committed to meet with us this Fall to discuss concerns and a possible path forward. </w:t>
            </w:r>
          </w:p>
          <w:p w14:paraId="4959297D" w14:textId="77777777" w:rsidR="0018384C" w:rsidRDefault="0018384C">
            <w:pPr>
              <w:rPr>
                <w:sz w:val="21"/>
                <w:szCs w:val="21"/>
              </w:rPr>
            </w:pPr>
          </w:p>
          <w:p w14:paraId="7C997AFF" w14:textId="77777777" w:rsidR="0018384C" w:rsidRDefault="00000000">
            <w:pPr>
              <w:rPr>
                <w:sz w:val="21"/>
                <w:szCs w:val="21"/>
              </w:rPr>
            </w:pPr>
            <w:r>
              <w:rPr>
                <w:sz w:val="21"/>
                <w:szCs w:val="21"/>
              </w:rPr>
              <w:t xml:space="preserve">Based on our conversations, </w:t>
            </w:r>
            <w:proofErr w:type="spellStart"/>
            <w:r>
              <w:rPr>
                <w:sz w:val="21"/>
                <w:szCs w:val="21"/>
              </w:rPr>
              <w:t>Cordish</w:t>
            </w:r>
            <w:proofErr w:type="spellEnd"/>
            <w:r>
              <w:rPr>
                <w:sz w:val="21"/>
                <w:szCs w:val="21"/>
              </w:rPr>
              <w:t xml:space="preserve"> (a casino property owner in MD</w:t>
            </w:r>
            <w:proofErr w:type="gramStart"/>
            <w:r>
              <w:rPr>
                <w:sz w:val="21"/>
                <w:szCs w:val="21"/>
              </w:rPr>
              <w:t>)  is</w:t>
            </w:r>
            <w:proofErr w:type="gramEnd"/>
            <w:r>
              <w:rPr>
                <w:sz w:val="21"/>
                <w:szCs w:val="21"/>
              </w:rPr>
              <w:t xml:space="preserve"> still firmly opposed to iGaming expansion.</w:t>
            </w:r>
          </w:p>
          <w:p w14:paraId="271079A1" w14:textId="77777777" w:rsidR="0018384C" w:rsidRDefault="0018384C">
            <w:pPr>
              <w:rPr>
                <w:sz w:val="21"/>
                <w:szCs w:val="21"/>
              </w:rPr>
            </w:pPr>
          </w:p>
        </w:tc>
      </w:tr>
      <w:tr w:rsidR="0018384C" w14:paraId="22E15F19" w14:textId="77777777">
        <w:trPr>
          <w:trHeight w:val="530"/>
        </w:trPr>
        <w:tc>
          <w:tcPr>
            <w:tcW w:w="2155" w:type="dxa"/>
            <w:shd w:val="clear" w:color="auto" w:fill="F2F2F2"/>
          </w:tcPr>
          <w:p w14:paraId="1069C0E2" w14:textId="77777777" w:rsidR="0018384C" w:rsidRDefault="00000000">
            <w:pPr>
              <w:rPr>
                <w:b/>
                <w:color w:val="262626"/>
                <w:sz w:val="24"/>
                <w:szCs w:val="24"/>
              </w:rPr>
            </w:pPr>
            <w:r>
              <w:rPr>
                <w:b/>
                <w:color w:val="262626"/>
                <w:sz w:val="24"/>
                <w:szCs w:val="24"/>
              </w:rPr>
              <w:t>NEW JERSEY</w:t>
            </w:r>
          </w:p>
          <w:p w14:paraId="441946A3" w14:textId="77777777" w:rsidR="0018384C" w:rsidRDefault="0018384C">
            <w:pPr>
              <w:rPr>
                <w:b/>
                <w:color w:val="262626"/>
                <w:sz w:val="24"/>
                <w:szCs w:val="24"/>
              </w:rPr>
            </w:pPr>
          </w:p>
          <w:p w14:paraId="18B7BF52" w14:textId="77777777" w:rsidR="0018384C" w:rsidRDefault="0018384C">
            <w:pPr>
              <w:rPr>
                <w:i/>
                <w:color w:val="262626"/>
                <w:sz w:val="24"/>
                <w:szCs w:val="24"/>
              </w:rPr>
            </w:pPr>
          </w:p>
        </w:tc>
        <w:tc>
          <w:tcPr>
            <w:tcW w:w="5400" w:type="dxa"/>
            <w:shd w:val="clear" w:color="auto" w:fill="F2F2F2"/>
          </w:tcPr>
          <w:p w14:paraId="5C337A0A" w14:textId="77777777" w:rsidR="0018384C" w:rsidRDefault="00000000">
            <w:pPr>
              <w:rPr>
                <w:sz w:val="21"/>
                <w:szCs w:val="21"/>
              </w:rPr>
            </w:pPr>
            <w:r>
              <w:rPr>
                <w:sz w:val="21"/>
                <w:szCs w:val="21"/>
              </w:rPr>
              <w:t>This week, New Jersey lawmakers unveiled a state budget proposal for the 2025 fiscal year that does not include increased internet gaming tax revenue from sports betting and online casinos.</w:t>
            </w:r>
          </w:p>
          <w:p w14:paraId="3DDDB5E3" w14:textId="77777777" w:rsidR="0018384C" w:rsidRDefault="0018384C">
            <w:pPr>
              <w:rPr>
                <w:sz w:val="21"/>
                <w:szCs w:val="21"/>
              </w:rPr>
            </w:pPr>
          </w:p>
          <w:p w14:paraId="7D97A0A6" w14:textId="77777777" w:rsidR="0018384C" w:rsidRDefault="00000000">
            <w:pPr>
              <w:rPr>
                <w:sz w:val="21"/>
                <w:szCs w:val="21"/>
              </w:rPr>
            </w:pPr>
            <w:r>
              <w:rPr>
                <w:sz w:val="21"/>
                <w:szCs w:val="21"/>
              </w:rPr>
              <w:t>Even though the tax increase wasn’t included in the budget, given what we have seen in other states, we expect to see continued activity in New Jersey around increasing the tax rate. iDEA will continue to monitor the activity of the New Jersey Legislature.</w:t>
            </w:r>
          </w:p>
          <w:p w14:paraId="3CFB02AE" w14:textId="77777777" w:rsidR="0018384C" w:rsidRDefault="0018384C">
            <w:pPr>
              <w:rPr>
                <w:sz w:val="21"/>
                <w:szCs w:val="21"/>
              </w:rPr>
            </w:pPr>
          </w:p>
          <w:p w14:paraId="04A2A927" w14:textId="77777777" w:rsidR="0018384C" w:rsidRDefault="00000000">
            <w:pPr>
              <w:rPr>
                <w:sz w:val="21"/>
                <w:szCs w:val="21"/>
              </w:rPr>
            </w:pPr>
            <w:r>
              <w:rPr>
                <w:sz w:val="21"/>
                <w:szCs w:val="21"/>
              </w:rPr>
              <w:lastRenderedPageBreak/>
              <w:t xml:space="preserve">A bill was introduced this week that would raise the tax rate for iGaming and internet sports betting to 30%. According to the Sponsor, </w:t>
            </w:r>
            <w:hyperlink r:id="rId19">
              <w:r>
                <w:rPr>
                  <w:color w:val="1155CC"/>
                  <w:sz w:val="21"/>
                  <w:szCs w:val="21"/>
                  <w:u w:val="single"/>
                </w:rPr>
                <w:t>S3064</w:t>
              </w:r>
            </w:hyperlink>
            <w:r>
              <w:rPr>
                <w:sz w:val="21"/>
                <w:szCs w:val="21"/>
              </w:rPr>
              <w:t xml:space="preserve">, is still being drafted into bill language. </w:t>
            </w:r>
          </w:p>
          <w:p w14:paraId="6F3FEBC5" w14:textId="77777777" w:rsidR="0018384C" w:rsidRDefault="0018384C">
            <w:pPr>
              <w:rPr>
                <w:sz w:val="21"/>
                <w:szCs w:val="21"/>
                <w:highlight w:val="green"/>
              </w:rPr>
            </w:pPr>
          </w:p>
          <w:p w14:paraId="0244E406" w14:textId="77777777" w:rsidR="0018384C" w:rsidRDefault="00000000">
            <w:pPr>
              <w:rPr>
                <w:sz w:val="21"/>
                <w:szCs w:val="21"/>
              </w:rPr>
            </w:pPr>
            <w:r>
              <w:rPr>
                <w:sz w:val="21"/>
                <w:szCs w:val="21"/>
              </w:rPr>
              <w:t xml:space="preserve">While the state is currently experiencing a budget surplus, it is expected to go into deficits in the coming years which is likely the impetus for finding new/increased revenues. We are not aware that this proposal has support from the Governor’s office, but we do know that some lawmakers have been floating the idea of a tax increase for the past few months. </w:t>
            </w:r>
          </w:p>
          <w:p w14:paraId="27EC6C9C" w14:textId="77777777" w:rsidR="0018384C" w:rsidRDefault="00000000">
            <w:pPr>
              <w:rPr>
                <w:sz w:val="21"/>
                <w:szCs w:val="21"/>
                <w:highlight w:val="green"/>
              </w:rPr>
            </w:pPr>
            <w:r>
              <w:rPr>
                <w:sz w:val="21"/>
                <w:szCs w:val="21"/>
              </w:rPr>
              <w:t xml:space="preserve"> </w:t>
            </w:r>
          </w:p>
        </w:tc>
        <w:tc>
          <w:tcPr>
            <w:tcW w:w="2430" w:type="dxa"/>
            <w:shd w:val="clear" w:color="auto" w:fill="F2F2F2"/>
          </w:tcPr>
          <w:p w14:paraId="340F5984" w14:textId="77777777" w:rsidR="0018384C" w:rsidRDefault="00000000">
            <w:pPr>
              <w:rPr>
                <w:color w:val="262626"/>
                <w:sz w:val="21"/>
                <w:szCs w:val="21"/>
              </w:rPr>
            </w:pPr>
            <w:r>
              <w:rPr>
                <w:color w:val="262626"/>
                <w:sz w:val="21"/>
                <w:szCs w:val="21"/>
              </w:rPr>
              <w:lastRenderedPageBreak/>
              <w:t xml:space="preserve">December 31, 2024- adjourns </w:t>
            </w:r>
          </w:p>
        </w:tc>
        <w:tc>
          <w:tcPr>
            <w:tcW w:w="4770" w:type="dxa"/>
            <w:shd w:val="clear" w:color="auto" w:fill="F2F2F2"/>
          </w:tcPr>
          <w:p w14:paraId="4BE9FA50" w14:textId="77777777" w:rsidR="0018384C" w:rsidRDefault="00000000">
            <w:pPr>
              <w:tabs>
                <w:tab w:val="left" w:pos="5220"/>
              </w:tabs>
              <w:rPr>
                <w:sz w:val="21"/>
                <w:szCs w:val="21"/>
              </w:rPr>
            </w:pPr>
            <w:r>
              <w:rPr>
                <w:sz w:val="21"/>
                <w:szCs w:val="21"/>
              </w:rPr>
              <w:t>iDEA continues to monitor the New Jersey Legislature.</w:t>
            </w:r>
          </w:p>
          <w:p w14:paraId="6A34B556" w14:textId="77777777" w:rsidR="0018384C" w:rsidRDefault="0018384C">
            <w:pPr>
              <w:tabs>
                <w:tab w:val="left" w:pos="5220"/>
              </w:tabs>
              <w:rPr>
                <w:sz w:val="21"/>
                <w:szCs w:val="21"/>
              </w:rPr>
            </w:pPr>
          </w:p>
          <w:p w14:paraId="031DA220" w14:textId="77777777" w:rsidR="0018384C" w:rsidRDefault="0018384C">
            <w:pPr>
              <w:tabs>
                <w:tab w:val="left" w:pos="5220"/>
              </w:tabs>
              <w:rPr>
                <w:color w:val="262626"/>
                <w:sz w:val="21"/>
                <w:szCs w:val="21"/>
              </w:rPr>
            </w:pPr>
          </w:p>
        </w:tc>
      </w:tr>
      <w:tr w:rsidR="0018384C" w14:paraId="00E141A0" w14:textId="77777777">
        <w:trPr>
          <w:trHeight w:val="620"/>
        </w:trPr>
        <w:tc>
          <w:tcPr>
            <w:tcW w:w="2155" w:type="dxa"/>
            <w:shd w:val="clear" w:color="auto" w:fill="F2F2F2"/>
          </w:tcPr>
          <w:p w14:paraId="3B0A01C6" w14:textId="77777777" w:rsidR="0018384C" w:rsidRDefault="00000000">
            <w:pPr>
              <w:rPr>
                <w:b/>
                <w:color w:val="262626"/>
                <w:sz w:val="24"/>
                <w:szCs w:val="24"/>
              </w:rPr>
            </w:pPr>
            <w:r>
              <w:rPr>
                <w:b/>
                <w:color w:val="262626"/>
                <w:sz w:val="24"/>
                <w:szCs w:val="24"/>
              </w:rPr>
              <w:t>NEW YORK</w:t>
            </w:r>
          </w:p>
          <w:p w14:paraId="09F2E28C" w14:textId="77777777" w:rsidR="0018384C" w:rsidRDefault="0018384C">
            <w:pPr>
              <w:rPr>
                <w:b/>
                <w:color w:val="262626"/>
                <w:sz w:val="24"/>
                <w:szCs w:val="24"/>
                <w:highlight w:val="green"/>
              </w:rPr>
            </w:pPr>
          </w:p>
        </w:tc>
        <w:tc>
          <w:tcPr>
            <w:tcW w:w="5400" w:type="dxa"/>
            <w:shd w:val="clear" w:color="auto" w:fill="F2F2F2"/>
          </w:tcPr>
          <w:p w14:paraId="45E9D1A0" w14:textId="77777777" w:rsidR="0018384C" w:rsidRDefault="00000000">
            <w:pPr>
              <w:rPr>
                <w:color w:val="2B2B2B"/>
                <w:sz w:val="21"/>
                <w:szCs w:val="21"/>
              </w:rPr>
            </w:pPr>
            <w:r>
              <w:rPr>
                <w:color w:val="2B2B2B"/>
                <w:sz w:val="21"/>
                <w:szCs w:val="21"/>
              </w:rPr>
              <w:t xml:space="preserve">iDEA spoke with Sen. Addabbo on </w:t>
            </w:r>
            <w:proofErr w:type="gramStart"/>
            <w:r>
              <w:rPr>
                <w:color w:val="2B2B2B"/>
                <w:sz w:val="21"/>
                <w:szCs w:val="21"/>
              </w:rPr>
              <w:t>02/21</w:t>
            </w:r>
            <w:proofErr w:type="gramEnd"/>
            <w:r>
              <w:rPr>
                <w:color w:val="2B2B2B"/>
                <w:sz w:val="21"/>
                <w:szCs w:val="21"/>
              </w:rPr>
              <w:t xml:space="preserve"> and he says that the trade union opposition to the bill means that it will not move this year. He has tried to engage with them on their concerns, but they are not willing to negotiate. </w:t>
            </w:r>
          </w:p>
          <w:p w14:paraId="361BCCE1" w14:textId="77777777" w:rsidR="0018384C" w:rsidRDefault="0018384C">
            <w:pPr>
              <w:rPr>
                <w:color w:val="2B2B2B"/>
                <w:sz w:val="21"/>
                <w:szCs w:val="21"/>
              </w:rPr>
            </w:pPr>
          </w:p>
          <w:p w14:paraId="638FA0D6" w14:textId="77777777" w:rsidR="0018384C" w:rsidRDefault="00000000">
            <w:pPr>
              <w:rPr>
                <w:color w:val="2B2B2B"/>
                <w:sz w:val="21"/>
                <w:szCs w:val="21"/>
              </w:rPr>
            </w:pPr>
            <w:r>
              <w:rPr>
                <w:color w:val="2B2B2B"/>
                <w:sz w:val="21"/>
                <w:szCs w:val="21"/>
              </w:rPr>
              <w:t>Rep. Gary Pretlow introduced AB9198 which is an identical bill to Senator Addabbo’s iGaming bill. There has been no progress on advancing legislation this session.</w:t>
            </w:r>
          </w:p>
          <w:p w14:paraId="181A2E6D" w14:textId="77777777" w:rsidR="0018384C" w:rsidRDefault="0018384C">
            <w:pPr>
              <w:rPr>
                <w:color w:val="2B2B2B"/>
                <w:sz w:val="21"/>
                <w:szCs w:val="21"/>
              </w:rPr>
            </w:pPr>
          </w:p>
          <w:p w14:paraId="3F73C8AA" w14:textId="77777777" w:rsidR="0018384C" w:rsidRDefault="00000000">
            <w:pPr>
              <w:rPr>
                <w:color w:val="2B2B2B"/>
                <w:sz w:val="21"/>
                <w:szCs w:val="21"/>
              </w:rPr>
            </w:pPr>
            <w:r>
              <w:rPr>
                <w:color w:val="2B2B2B"/>
                <w:sz w:val="21"/>
                <w:szCs w:val="21"/>
              </w:rPr>
              <w:t xml:space="preserve">Senator Addabbo has introduced his iGaming bill. A full breakdown of his proposal can be found on the </w:t>
            </w:r>
            <w:hyperlink r:id="rId20">
              <w:r>
                <w:rPr>
                  <w:color w:val="1155CC"/>
                  <w:sz w:val="21"/>
                  <w:szCs w:val="21"/>
                  <w:u w:val="single"/>
                </w:rPr>
                <w:t>Member Portal</w:t>
              </w:r>
            </w:hyperlink>
            <w:r>
              <w:rPr>
                <w:color w:val="2B2B2B"/>
                <w:sz w:val="21"/>
                <w:szCs w:val="21"/>
              </w:rPr>
              <w:t xml:space="preserve">. </w:t>
            </w:r>
          </w:p>
          <w:p w14:paraId="57E5FD05" w14:textId="77777777" w:rsidR="0018384C" w:rsidRDefault="0018384C">
            <w:pPr>
              <w:rPr>
                <w:color w:val="2B2B2B"/>
                <w:sz w:val="21"/>
                <w:szCs w:val="21"/>
              </w:rPr>
            </w:pPr>
          </w:p>
          <w:p w14:paraId="2D288BCC" w14:textId="77777777" w:rsidR="0018384C" w:rsidRDefault="0018384C">
            <w:pPr>
              <w:rPr>
                <w:color w:val="2B2B2B"/>
                <w:sz w:val="16"/>
                <w:szCs w:val="16"/>
                <w:highlight w:val="green"/>
              </w:rPr>
            </w:pPr>
          </w:p>
        </w:tc>
        <w:tc>
          <w:tcPr>
            <w:tcW w:w="2430" w:type="dxa"/>
            <w:shd w:val="clear" w:color="auto" w:fill="F2F2F2"/>
          </w:tcPr>
          <w:p w14:paraId="0787E8EE" w14:textId="77777777" w:rsidR="0018384C" w:rsidRDefault="00000000">
            <w:pPr>
              <w:rPr>
                <w:color w:val="262626"/>
                <w:sz w:val="21"/>
                <w:szCs w:val="21"/>
              </w:rPr>
            </w:pPr>
            <w:r>
              <w:rPr>
                <w:color w:val="262626"/>
                <w:sz w:val="21"/>
                <w:szCs w:val="21"/>
              </w:rPr>
              <w:t>April 1 – Budget due</w:t>
            </w:r>
          </w:p>
        </w:tc>
        <w:tc>
          <w:tcPr>
            <w:tcW w:w="4770" w:type="dxa"/>
            <w:shd w:val="clear" w:color="auto" w:fill="F2F2F2"/>
          </w:tcPr>
          <w:p w14:paraId="03FFA172" w14:textId="77777777" w:rsidR="0018384C" w:rsidRDefault="00000000">
            <w:pPr>
              <w:tabs>
                <w:tab w:val="left" w:pos="5220"/>
              </w:tabs>
              <w:rPr>
                <w:color w:val="262626"/>
                <w:sz w:val="21"/>
                <w:szCs w:val="21"/>
              </w:rPr>
            </w:pPr>
            <w:r>
              <w:rPr>
                <w:color w:val="262626"/>
                <w:sz w:val="21"/>
                <w:szCs w:val="21"/>
              </w:rPr>
              <w:t xml:space="preserve">iDEA continues to engage with Addabbo and other lawmakers. </w:t>
            </w:r>
          </w:p>
        </w:tc>
      </w:tr>
      <w:tr w:rsidR="0018384C" w14:paraId="20DF258A" w14:textId="77777777">
        <w:trPr>
          <w:trHeight w:val="620"/>
        </w:trPr>
        <w:tc>
          <w:tcPr>
            <w:tcW w:w="2155" w:type="dxa"/>
            <w:shd w:val="clear" w:color="auto" w:fill="F2F2F2"/>
          </w:tcPr>
          <w:p w14:paraId="5C9F34DF" w14:textId="77777777" w:rsidR="0018384C" w:rsidRDefault="00000000">
            <w:pPr>
              <w:rPr>
                <w:b/>
                <w:color w:val="262626"/>
                <w:sz w:val="24"/>
                <w:szCs w:val="24"/>
              </w:rPr>
            </w:pPr>
            <w:r>
              <w:rPr>
                <w:b/>
                <w:color w:val="262626"/>
                <w:sz w:val="24"/>
                <w:szCs w:val="24"/>
              </w:rPr>
              <w:t>OHIO</w:t>
            </w:r>
          </w:p>
        </w:tc>
        <w:tc>
          <w:tcPr>
            <w:tcW w:w="5400" w:type="dxa"/>
            <w:shd w:val="clear" w:color="auto" w:fill="F2F2F2"/>
          </w:tcPr>
          <w:p w14:paraId="62BC2D1F" w14:textId="77777777" w:rsidR="0018384C" w:rsidRDefault="00000000">
            <w:pPr>
              <w:rPr>
                <w:color w:val="2B2B2B"/>
                <w:sz w:val="21"/>
                <w:szCs w:val="21"/>
              </w:rPr>
            </w:pPr>
            <w:r>
              <w:rPr>
                <w:color w:val="2B2B2B"/>
                <w:sz w:val="21"/>
                <w:szCs w:val="21"/>
              </w:rPr>
              <w:t xml:space="preserve">On 09/04 iGaming legislation was introduced in the Ohio Senate. A copy of SB 312 is available </w:t>
            </w:r>
            <w:hyperlink r:id="rId21">
              <w:r>
                <w:rPr>
                  <w:color w:val="1155CC"/>
                  <w:sz w:val="21"/>
                  <w:szCs w:val="21"/>
                  <w:u w:val="single"/>
                </w:rPr>
                <w:t>here</w:t>
              </w:r>
            </w:hyperlink>
            <w:r>
              <w:rPr>
                <w:color w:val="2B2B2B"/>
                <w:sz w:val="21"/>
                <w:szCs w:val="21"/>
              </w:rPr>
              <w:t>.</w:t>
            </w:r>
          </w:p>
          <w:p w14:paraId="681BE8F5" w14:textId="77777777" w:rsidR="0018384C" w:rsidRDefault="0018384C">
            <w:pPr>
              <w:rPr>
                <w:color w:val="2B2B2B"/>
                <w:sz w:val="21"/>
                <w:szCs w:val="21"/>
              </w:rPr>
            </w:pPr>
          </w:p>
          <w:p w14:paraId="11C4F206" w14:textId="77777777" w:rsidR="0018384C" w:rsidRDefault="00000000">
            <w:pPr>
              <w:rPr>
                <w:color w:val="2B2B2B"/>
                <w:sz w:val="21"/>
                <w:szCs w:val="21"/>
              </w:rPr>
            </w:pPr>
            <w:r>
              <w:rPr>
                <w:color w:val="2B2B2B"/>
                <w:sz w:val="21"/>
                <w:szCs w:val="21"/>
              </w:rPr>
              <w:t xml:space="preserve">Based on all available intelligence this is not a serious bill, and did not have broad input from industry, and it has little chance of being considered during the “lame-duck” session. Further, the sponsor of the bill is term-limited at the end of this </w:t>
            </w:r>
            <w:proofErr w:type="gramStart"/>
            <w:r>
              <w:rPr>
                <w:color w:val="2B2B2B"/>
                <w:sz w:val="21"/>
                <w:szCs w:val="21"/>
              </w:rPr>
              <w:t>year, and</w:t>
            </w:r>
            <w:proofErr w:type="gramEnd"/>
            <w:r>
              <w:rPr>
                <w:color w:val="2B2B2B"/>
                <w:sz w:val="21"/>
                <w:szCs w:val="21"/>
              </w:rPr>
              <w:t xml:space="preserve"> will not be returning to the Senate next session. </w:t>
            </w:r>
          </w:p>
          <w:p w14:paraId="4B857CB0" w14:textId="77777777" w:rsidR="0018384C" w:rsidRDefault="0018384C">
            <w:pPr>
              <w:rPr>
                <w:color w:val="2B2B2B"/>
                <w:sz w:val="21"/>
                <w:szCs w:val="21"/>
              </w:rPr>
            </w:pPr>
          </w:p>
          <w:p w14:paraId="5B0D41BB" w14:textId="77777777" w:rsidR="0018384C" w:rsidRDefault="00000000">
            <w:pPr>
              <w:rPr>
                <w:color w:val="2B2B2B"/>
                <w:sz w:val="21"/>
                <w:szCs w:val="21"/>
              </w:rPr>
            </w:pPr>
            <w:r>
              <w:rPr>
                <w:color w:val="2B2B2B"/>
                <w:sz w:val="21"/>
                <w:szCs w:val="21"/>
              </w:rPr>
              <w:lastRenderedPageBreak/>
              <w:t xml:space="preserve">As we have shared previously, Ohio is a state of interest for iGaming, however, we don't foresee it being realistic until 2026+. </w:t>
            </w:r>
          </w:p>
        </w:tc>
        <w:tc>
          <w:tcPr>
            <w:tcW w:w="2430" w:type="dxa"/>
            <w:shd w:val="clear" w:color="auto" w:fill="F2F2F2"/>
          </w:tcPr>
          <w:p w14:paraId="269F7BF3" w14:textId="77777777" w:rsidR="0018384C" w:rsidRDefault="00000000">
            <w:pPr>
              <w:rPr>
                <w:color w:val="262626"/>
                <w:sz w:val="21"/>
                <w:szCs w:val="21"/>
              </w:rPr>
            </w:pPr>
            <w:r>
              <w:rPr>
                <w:color w:val="262626"/>
                <w:sz w:val="21"/>
                <w:szCs w:val="21"/>
              </w:rPr>
              <w:lastRenderedPageBreak/>
              <w:t xml:space="preserve">November – Lame duck session begins in Ohio after elections. </w:t>
            </w:r>
          </w:p>
        </w:tc>
        <w:tc>
          <w:tcPr>
            <w:tcW w:w="4770" w:type="dxa"/>
            <w:shd w:val="clear" w:color="auto" w:fill="F2F2F2"/>
          </w:tcPr>
          <w:p w14:paraId="4F62EB06" w14:textId="77777777" w:rsidR="0018384C" w:rsidRDefault="00000000">
            <w:pPr>
              <w:tabs>
                <w:tab w:val="left" w:pos="5220"/>
              </w:tabs>
              <w:rPr>
                <w:color w:val="262626"/>
                <w:sz w:val="21"/>
                <w:szCs w:val="21"/>
              </w:rPr>
            </w:pPr>
            <w:r>
              <w:rPr>
                <w:color w:val="262626"/>
                <w:sz w:val="21"/>
                <w:szCs w:val="21"/>
              </w:rPr>
              <w:t xml:space="preserve">iDEA will continue to be a direct proponent of iGaming in Ohio. We have </w:t>
            </w:r>
            <w:hyperlink r:id="rId22">
              <w:r>
                <w:rPr>
                  <w:color w:val="1155CC"/>
                  <w:sz w:val="21"/>
                  <w:szCs w:val="21"/>
                  <w:u w:val="single"/>
                </w:rPr>
                <w:t>submitted testimony</w:t>
              </w:r>
            </w:hyperlink>
            <w:r>
              <w:rPr>
                <w:color w:val="262626"/>
                <w:sz w:val="21"/>
                <w:szCs w:val="21"/>
              </w:rPr>
              <w:t xml:space="preserve"> to the Future of Gaming Study Commission and communicate with relevant lawmakers on this issue. </w:t>
            </w:r>
          </w:p>
        </w:tc>
      </w:tr>
    </w:tbl>
    <w:p w14:paraId="2BAFE93D" w14:textId="77777777" w:rsidR="0018384C" w:rsidRDefault="0018384C">
      <w:pPr>
        <w:tabs>
          <w:tab w:val="left" w:pos="4104"/>
        </w:tabs>
      </w:pPr>
    </w:p>
    <w:sectPr w:rsidR="0018384C">
      <w:headerReference w:type="default" r:id="rId23"/>
      <w:footerReference w:type="default" r:id="rId24"/>
      <w:headerReference w:type="first" r:id="rId25"/>
      <w:pgSz w:w="15840" w:h="12240" w:orient="landscape"/>
      <w:pgMar w:top="1728" w:right="2880" w:bottom="864" w:left="1008" w:header="115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CABFA" w14:textId="77777777" w:rsidR="004412FC" w:rsidRDefault="004412FC">
      <w:r>
        <w:separator/>
      </w:r>
    </w:p>
  </w:endnote>
  <w:endnote w:type="continuationSeparator" w:id="0">
    <w:p w14:paraId="16026140" w14:textId="77777777" w:rsidR="004412FC" w:rsidRDefault="0044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A613C" w14:textId="77777777" w:rsidR="0018384C" w:rsidRDefault="001838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82CCC" w14:textId="77777777" w:rsidR="004412FC" w:rsidRDefault="004412FC">
      <w:r>
        <w:separator/>
      </w:r>
    </w:p>
  </w:footnote>
  <w:footnote w:type="continuationSeparator" w:id="0">
    <w:p w14:paraId="48D11616" w14:textId="77777777" w:rsidR="004412FC" w:rsidRDefault="00441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C0AC" w14:textId="77777777" w:rsidR="0018384C" w:rsidRDefault="0018384C">
    <w:pPr>
      <w:tabs>
        <w:tab w:val="left" w:pos="5220"/>
      </w:tabs>
      <w:rPr>
        <w:b/>
        <w:color w:val="262626"/>
        <w:sz w:val="24"/>
        <w:szCs w:val="24"/>
        <w:highlight w:val="gree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504A5" w14:textId="77777777" w:rsidR="0018384C" w:rsidRDefault="00000000">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14:anchorId="6EF210E4" wp14:editId="577EDDA8">
          <wp:simplePos x="0" y="0"/>
          <wp:positionH relativeFrom="column">
            <wp:posOffset>-619124</wp:posOffset>
          </wp:positionH>
          <wp:positionV relativeFrom="paragraph">
            <wp:posOffset>-731519</wp:posOffset>
          </wp:positionV>
          <wp:extent cx="7348051" cy="9509760"/>
          <wp:effectExtent l="0" t="0" r="0" b="0"/>
          <wp:wrapNone/>
          <wp:docPr id="5" name="image1.jp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screenshot of a cell phone&#10;&#10;Description automatically generated"/>
                  <pic:cNvPicPr preferRelativeResize="0"/>
                </pic:nvPicPr>
                <pic:blipFill>
                  <a:blip r:embed="rId1"/>
                  <a:srcRect/>
                  <a:stretch>
                    <a:fillRect/>
                  </a:stretch>
                </pic:blipFill>
                <pic:spPr>
                  <a:xfrm>
                    <a:off x="0" y="0"/>
                    <a:ext cx="7348051" cy="950976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390A6659" wp14:editId="5F0548E2">
              <wp:simplePos x="0" y="0"/>
              <wp:positionH relativeFrom="column">
                <wp:posOffset>4800600</wp:posOffset>
              </wp:positionH>
              <wp:positionV relativeFrom="paragraph">
                <wp:posOffset>-266699</wp:posOffset>
              </wp:positionV>
              <wp:extent cx="3286125" cy="959245"/>
              <wp:effectExtent l="0" t="0" r="0" b="0"/>
              <wp:wrapNone/>
              <wp:docPr id="4" name="Rectangle 4"/>
              <wp:cNvGraphicFramePr/>
              <a:graphic xmlns:a="http://schemas.openxmlformats.org/drawingml/2006/main">
                <a:graphicData uri="http://schemas.microsoft.com/office/word/2010/wordprocessingShape">
                  <wps:wsp>
                    <wps:cNvSpPr/>
                    <wps:spPr>
                      <a:xfrm>
                        <a:off x="3707700" y="3448523"/>
                        <a:ext cx="3276600" cy="942900"/>
                      </a:xfrm>
                      <a:prstGeom prst="rect">
                        <a:avLst/>
                      </a:prstGeom>
                      <a:solidFill>
                        <a:schemeClr val="lt1"/>
                      </a:solidFill>
                      <a:ln>
                        <a:noFill/>
                      </a:ln>
                    </wps:spPr>
                    <wps:txbx>
                      <w:txbxContent>
                        <w:p w14:paraId="68C9FD29" w14:textId="77777777" w:rsidR="0018384C" w:rsidRDefault="00000000">
                          <w:pPr>
                            <w:textDirection w:val="btLr"/>
                          </w:pPr>
                          <w:r>
                            <w:rPr>
                              <w:b/>
                              <w:i/>
                              <w:color w:val="000000"/>
                              <w:sz w:val="36"/>
                            </w:rPr>
                            <w:t>October 11, 2024</w:t>
                          </w:r>
                        </w:p>
                        <w:p w14:paraId="2801FFCA" w14:textId="77777777" w:rsidR="0018384C" w:rsidRDefault="00000000">
                          <w:pPr>
                            <w:textDirection w:val="btLr"/>
                          </w:pPr>
                          <w:r>
                            <w:rPr>
                              <w:b/>
                              <w:i/>
                              <w:color w:val="000000"/>
                              <w:sz w:val="28"/>
                            </w:rPr>
                            <w:t xml:space="preserve">Latest state updates highlighted in </w:t>
                          </w:r>
                          <w:r>
                            <w:rPr>
                              <w:b/>
                              <w:i/>
                              <w:color w:val="000000"/>
                              <w:sz w:val="28"/>
                              <w:highlight w:val="green"/>
                            </w:rPr>
                            <w:t>green</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4800600</wp:posOffset>
              </wp:positionH>
              <wp:positionV relativeFrom="paragraph">
                <wp:posOffset>-266699</wp:posOffset>
              </wp:positionV>
              <wp:extent cx="3286125" cy="959245"/>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86125" cy="95924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C85C26"/>
    <w:multiLevelType w:val="multilevel"/>
    <w:tmpl w:val="F3FA5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898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4C"/>
    <w:rsid w:val="0018384C"/>
    <w:rsid w:val="002F385C"/>
    <w:rsid w:val="004412FC"/>
    <w:rsid w:val="0076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F072"/>
  <w15:docId w15:val="{5725A2EF-FBE2-4A57-89F6-91ECFB03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7E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80460"/>
    <w:pPr>
      <w:tabs>
        <w:tab w:val="center" w:pos="4680"/>
        <w:tab w:val="right" w:pos="9360"/>
      </w:tabs>
    </w:pPr>
  </w:style>
  <w:style w:type="character" w:customStyle="1" w:styleId="HeaderChar">
    <w:name w:val="Header Char"/>
    <w:basedOn w:val="DefaultParagraphFont"/>
    <w:link w:val="Header"/>
    <w:uiPriority w:val="99"/>
    <w:rsid w:val="00780460"/>
  </w:style>
  <w:style w:type="paragraph" w:styleId="Footer">
    <w:name w:val="footer"/>
    <w:basedOn w:val="Normal"/>
    <w:link w:val="FooterChar"/>
    <w:uiPriority w:val="99"/>
    <w:unhideWhenUsed/>
    <w:rsid w:val="00780460"/>
    <w:pPr>
      <w:tabs>
        <w:tab w:val="center" w:pos="4680"/>
        <w:tab w:val="right" w:pos="9360"/>
      </w:tabs>
    </w:pPr>
  </w:style>
  <w:style w:type="character" w:customStyle="1" w:styleId="FooterChar">
    <w:name w:val="Footer Char"/>
    <w:basedOn w:val="DefaultParagraphFont"/>
    <w:link w:val="Footer"/>
    <w:uiPriority w:val="99"/>
    <w:rsid w:val="00780460"/>
  </w:style>
  <w:style w:type="paragraph" w:styleId="BalloonText">
    <w:name w:val="Balloon Text"/>
    <w:basedOn w:val="Normal"/>
    <w:link w:val="BalloonTextChar"/>
    <w:uiPriority w:val="99"/>
    <w:semiHidden/>
    <w:unhideWhenUsed/>
    <w:rsid w:val="00AB09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0980"/>
    <w:rPr>
      <w:rFonts w:ascii="Times New Roman" w:hAnsi="Times New Roman" w:cs="Times New Roman"/>
      <w:sz w:val="18"/>
      <w:szCs w:val="18"/>
    </w:rPr>
  </w:style>
  <w:style w:type="table" w:styleId="TableGrid">
    <w:name w:val="Table Grid"/>
    <w:basedOn w:val="TableNormal"/>
    <w:uiPriority w:val="39"/>
    <w:rsid w:val="009961D8"/>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D8"/>
    <w:pPr>
      <w:ind w:left="720"/>
      <w:contextualSpacing/>
    </w:pPr>
  </w:style>
  <w:style w:type="character" w:styleId="Hyperlink">
    <w:name w:val="Hyperlink"/>
    <w:basedOn w:val="DefaultParagraphFont"/>
    <w:uiPriority w:val="99"/>
    <w:unhideWhenUsed/>
    <w:rsid w:val="00E16CFF"/>
    <w:rPr>
      <w:color w:val="0563C1" w:themeColor="hyperlink"/>
      <w:u w:val="single"/>
    </w:rPr>
  </w:style>
  <w:style w:type="character" w:styleId="UnresolvedMention">
    <w:name w:val="Unresolved Mention"/>
    <w:basedOn w:val="DefaultParagraphFont"/>
    <w:uiPriority w:val="99"/>
    <w:rsid w:val="00E16CFF"/>
    <w:rPr>
      <w:color w:val="605E5C"/>
      <w:shd w:val="clear" w:color="auto" w:fill="E1DFDD"/>
    </w:rPr>
  </w:style>
  <w:style w:type="character" w:styleId="FollowedHyperlink">
    <w:name w:val="FollowedHyperlink"/>
    <w:basedOn w:val="DefaultParagraphFont"/>
    <w:uiPriority w:val="99"/>
    <w:semiHidden/>
    <w:unhideWhenUsed/>
    <w:rsid w:val="00F13ACF"/>
    <w:rPr>
      <w:color w:val="954F72" w:themeColor="followedHyperlink"/>
      <w:u w:val="single"/>
    </w:rPr>
  </w:style>
  <w:style w:type="paragraph" w:customStyle="1" w:styleId="TableParagraph">
    <w:name w:val="Table Paragraph"/>
    <w:basedOn w:val="Normal"/>
    <w:uiPriority w:val="1"/>
    <w:qFormat/>
    <w:rsid w:val="00DB4D5A"/>
    <w:pPr>
      <w:widowControl w:val="0"/>
      <w:autoSpaceDE w:val="0"/>
      <w:autoSpaceDN w:val="0"/>
    </w:pPr>
    <w:rPr>
      <w:sz w:val="22"/>
      <w:szCs w:val="22"/>
    </w:rPr>
  </w:style>
  <w:style w:type="paragraph" w:styleId="NormalWeb">
    <w:name w:val="Normal (Web)"/>
    <w:basedOn w:val="Normal"/>
    <w:uiPriority w:val="99"/>
    <w:unhideWhenUsed/>
    <w:rsid w:val="002F4124"/>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uiPriority w:val="99"/>
    <w:rsid w:val="009D77D3"/>
    <w:pPr>
      <w:spacing w:before="100" w:beforeAutospacing="1" w:after="100" w:afterAutospacing="1"/>
    </w:pPr>
    <w:rPr>
      <w:rFonts w:eastAsiaTheme="minorEastAsia"/>
      <w:sz w:val="22"/>
      <w:szCs w:val="22"/>
    </w:rPr>
  </w:style>
  <w:style w:type="character" w:customStyle="1" w:styleId="apple-converted-space">
    <w:name w:val="apple-converted-space"/>
    <w:basedOn w:val="DefaultParagraphFont"/>
    <w:rsid w:val="009F4610"/>
  </w:style>
  <w:style w:type="paragraph" w:styleId="NoSpacing">
    <w:name w:val="No Spacing"/>
    <w:uiPriority w:val="1"/>
    <w:qFormat/>
    <w:rsid w:val="00C77535"/>
  </w:style>
  <w:style w:type="character" w:customStyle="1" w:styleId="cs896ae219">
    <w:name w:val="cs896ae219"/>
    <w:basedOn w:val="DefaultParagraphFont"/>
    <w:rsid w:val="00AF4886"/>
  </w:style>
  <w:style w:type="character" w:customStyle="1" w:styleId="csce8550a8">
    <w:name w:val="csce8550a8"/>
    <w:basedOn w:val="DefaultParagraphFont"/>
    <w:rsid w:val="00AF4886"/>
  </w:style>
  <w:style w:type="character" w:styleId="Strong">
    <w:name w:val="Strong"/>
    <w:basedOn w:val="DefaultParagraphFont"/>
    <w:uiPriority w:val="22"/>
    <w:qFormat/>
    <w:rsid w:val="00C103ED"/>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is.delaware.gov/BillDetail?LegislationId=141175" TargetMode="External"/><Relationship Id="rId13" Type="http://schemas.openxmlformats.org/officeDocument/2006/relationships/hyperlink" Target="https://ideagrowth.org/legislative_updates/maryland-lottery-and-gaming-commission-issues-new-proposed-sports-betting-rules/" TargetMode="External"/><Relationship Id="rId18" Type="http://schemas.openxmlformats.org/officeDocument/2006/relationships/hyperlink" Target="https://mdcounties.org/148/Summer-Confere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egislature.ohio.gov/legislation/135/sb312" TargetMode="External"/><Relationship Id="rId7" Type="http://schemas.openxmlformats.org/officeDocument/2006/relationships/endnotes" Target="endnotes.xml"/><Relationship Id="rId12" Type="http://schemas.openxmlformats.org/officeDocument/2006/relationships/hyperlink" Target="https://ideagrowth.org/legislative_updates/md-lottery-proposes-ending-promotional-deductions-for-sports-betting-and-table-games/" TargetMode="External"/><Relationship Id="rId17" Type="http://schemas.openxmlformats.org/officeDocument/2006/relationships/hyperlink" Target="https://app.smartsheet.com/b/form/f455d6979fa14b9ea1976a2b8abfea4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4a8sjgbb.cc.rs6.net/tn.jsp?f=001BSDG5paRnH_ajHjx2wsTXjEDYlH1RgZB4eixHukEvDFix7hqjTU_j0tgTstWQUq14acbfOZqjUXjtt95aqOm0pImf41JsOVr5H8S6x6NrhuN6mKnlZWfSLq1X4sutOOgB4zvV7Pq-lCR1o1LLnsOc4vXzVOHOc2ZT-grAWdTW153-TZAl8ryBYr42k7xLwcvXMr35xVxnuHT6N_ZR2w-8_x1Y3FksqL5rFXL0qFG_9U=&amp;c=vfd-YVOLvXmV79A8kRDXWGGvgCbsdYseuRHcKCrOJEYCzKlSXul8qw==&amp;ch=ucu6iY1UspcXgIdRMge4xFSI0aWCFnPYwPvu9eMLjjoZxRke_2zURA==" TargetMode="External"/><Relationship Id="rId20" Type="http://schemas.openxmlformats.org/officeDocument/2006/relationships/hyperlink" Target="https://ideagrowth.org/legislative_updates/new-york-sen-addabbo-releases-draft-igaming-bi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growth.org/wp-content/uploads/2024/09/2024-Combined-Advertising-Rules-2024.09.03-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4a8sjgbb.cc.rs6.net/tn.jsp?f=001BSDG5paRnH_ajHjx2wsTXjEDYlH1RgZB4eixHukEvDFix7hqjTU_j07GZf_FSO3lgppgqEXWfMAAlItcfIkzvFNYV7VVlzSqZUNSMC7GBN2ImsEdM7Kg8g4ZfMx-L1eSX-BpYMD5g35vsLoosKJIr36bZ-17wtVTQRZFxse-6eqsLiGCSCYx5_3WZed84qIC-67N2F--BfikYANimOsshOaeqOS26_AffmTKVKU664FQv4_fzOmvIr4pupC7zzYgp-Nt7hvLlo0=&amp;c=vfd-YVOLvXmV79A8kRDXWGGvgCbsdYseuRHcKCrOJEYCzKlSXul8qw==&amp;ch=ucu6iY1UspcXgIdRMge4xFSI0aWCFnPYwPvu9eMLjjoZxRke_2zURA==" TargetMode="External"/><Relationship Id="rId23" Type="http://schemas.openxmlformats.org/officeDocument/2006/relationships/header" Target="header1.xml"/><Relationship Id="rId10" Type="http://schemas.openxmlformats.org/officeDocument/2006/relationships/hyperlink" Target="https://ideagrowth.org/wp-content/uploads/2024/07/iDEA_Memo_DC-OLG_7.3.24.docx" TargetMode="External"/><Relationship Id="rId19" Type="http://schemas.openxmlformats.org/officeDocument/2006/relationships/hyperlink" Target="https://www.njleg.state.nj.us/bill-search/2024/S3064" TargetMode="External"/><Relationship Id="rId4" Type="http://schemas.openxmlformats.org/officeDocument/2006/relationships/settings" Target="settings.xml"/><Relationship Id="rId9" Type="http://schemas.openxmlformats.org/officeDocument/2006/relationships/hyperlink" Target="https://ideagrowth.org/wp-content/uploads/2024/05/Delaware-House-Admin-Testimony-May-22.pdf" TargetMode="External"/><Relationship Id="rId14" Type="http://schemas.openxmlformats.org/officeDocument/2006/relationships/hyperlink" Target="https://www.mdgaming.com/commission-meeting-10-24-2024/" TargetMode="External"/><Relationship Id="rId22" Type="http://schemas.openxmlformats.org/officeDocument/2006/relationships/hyperlink" Target="https://ideagrowth.org/wp-content/uploads/2024/02/Ohio-Testimony_Feb-20-2024.pdf"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yW6fA8JcLtLkHkCnmGGUQmHjw==">CgMxLjA4AHIhMTJQaFp2ZmJ5akhSS0RkZER4Z2NTdXVfeEw1WF9LTkRk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1924</Words>
  <Characters>10971</Characters>
  <Application>Microsoft Office Word</Application>
  <DocSecurity>0</DocSecurity>
  <Lines>91</Lines>
  <Paragraphs>25</Paragraphs>
  <ScaleCrop>false</ScaleCrop>
  <Company/>
  <LinksUpToDate>false</LinksUpToDate>
  <CharactersWithSpaces>12870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Pappas</cp:lastModifiedBy>
  <cp:revision>2</cp:revision>
  <dcterms:created xsi:type="dcterms:W3CDTF">2024-10-11T13:50:00Z</dcterms:created>
  <dcterms:modified xsi:type="dcterms:W3CDTF">2024-10-11T13:50:00Z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0x0101003830E59144063F45B2A8CF947C4FADCD</vt:lpwstr>
  </property>
</Properties>
</file>